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E5943C" w14:textId="77777777" w:rsidR="00567ABA" w:rsidRDefault="00567ABA">
      <w:pPr>
        <w:jc w:val="both"/>
        <w:rPr>
          <w:rFonts w:asciiTheme="majorHAnsi" w:hAnsiTheme="majorHAnsi" w:cstheme="minorHAnsi"/>
          <w:sz w:val="22"/>
          <w:szCs w:val="22"/>
        </w:rPr>
      </w:pPr>
      <w:bookmarkStart w:id="0" w:name="_GoBack"/>
      <w:bookmarkEnd w:id="0"/>
    </w:p>
    <w:p w14:paraId="00FE3F0C" w14:textId="237486CF" w:rsidR="004060D1" w:rsidRDefault="008A72E6" w:rsidP="00567ABA">
      <w:pPr>
        <w:jc w:val="center"/>
        <w:rPr>
          <w:rFonts w:asciiTheme="majorHAnsi" w:hAnsiTheme="majorHAnsi" w:cstheme="minorHAnsi"/>
          <w:b/>
          <w:sz w:val="22"/>
          <w:szCs w:val="22"/>
          <w:lang w:val="sr-Cyrl-BA"/>
        </w:rPr>
      </w:pPr>
      <w:r w:rsidRPr="00040B9F">
        <w:rPr>
          <w:rFonts w:asciiTheme="majorHAnsi" w:hAnsiTheme="majorHAnsi" w:cstheme="minorHAnsi"/>
          <w:b/>
          <w:sz w:val="22"/>
          <w:szCs w:val="22"/>
          <w:lang w:val="sr-Cyrl-BA"/>
        </w:rPr>
        <w:t>И</w:t>
      </w:r>
      <w:r w:rsidR="00707CD2" w:rsidRPr="00040B9F">
        <w:rPr>
          <w:rFonts w:asciiTheme="majorHAnsi" w:hAnsiTheme="majorHAnsi" w:cstheme="minorHAnsi"/>
          <w:b/>
          <w:sz w:val="22"/>
          <w:szCs w:val="22"/>
          <w:lang w:val="sr-Cyrl-BA"/>
        </w:rPr>
        <w:t>ницијатива за</w:t>
      </w:r>
      <w:r w:rsidR="00707CD2" w:rsidRPr="00040B9F">
        <w:rPr>
          <w:rFonts w:asciiTheme="majorHAnsi" w:hAnsiTheme="majorHAnsi" w:cstheme="minorHAnsi"/>
          <w:b/>
          <w:sz w:val="22"/>
          <w:szCs w:val="22"/>
          <w:lang w:val="sr-Latn-BA"/>
        </w:rPr>
        <w:t xml:space="preserve"> </w:t>
      </w:r>
      <w:r w:rsidR="00707CD2" w:rsidRPr="00040B9F">
        <w:rPr>
          <w:rFonts w:asciiTheme="majorHAnsi" w:hAnsiTheme="majorHAnsi" w:cstheme="minorHAnsi"/>
          <w:b/>
          <w:sz w:val="22"/>
          <w:szCs w:val="22"/>
          <w:lang w:val="sr-Cyrl-BA"/>
        </w:rPr>
        <w:t>одрживост</w:t>
      </w:r>
      <w:r w:rsidRPr="00040B9F">
        <w:rPr>
          <w:rFonts w:asciiTheme="majorHAnsi" w:hAnsiTheme="majorHAnsi" w:cstheme="minorHAnsi"/>
          <w:b/>
          <w:sz w:val="22"/>
          <w:szCs w:val="22"/>
          <w:lang w:val="sr-Cyrl-BA"/>
        </w:rPr>
        <w:t xml:space="preserve"> Омладинских центара у Републици Српској</w:t>
      </w:r>
    </w:p>
    <w:p w14:paraId="1685D7A2" w14:textId="77777777" w:rsidR="00040B9F" w:rsidRDefault="00040B9F">
      <w:pPr>
        <w:jc w:val="both"/>
        <w:rPr>
          <w:rFonts w:asciiTheme="majorHAnsi" w:hAnsiTheme="majorHAnsi" w:cstheme="minorHAnsi"/>
          <w:b/>
          <w:sz w:val="22"/>
          <w:szCs w:val="22"/>
          <w:lang w:val="sr-Cyrl-BA"/>
        </w:rPr>
      </w:pPr>
    </w:p>
    <w:p w14:paraId="34C55E57" w14:textId="77777777" w:rsidR="004060D1" w:rsidRPr="003E5F78" w:rsidRDefault="004060D1">
      <w:pPr>
        <w:jc w:val="center"/>
        <w:rPr>
          <w:rFonts w:asciiTheme="majorHAnsi" w:hAnsiTheme="majorHAnsi" w:cstheme="minorHAnsi"/>
          <w:sz w:val="22"/>
          <w:szCs w:val="22"/>
        </w:rPr>
      </w:pPr>
    </w:p>
    <w:p w14:paraId="12C1052E" w14:textId="0E73F5A0" w:rsidR="004060D1" w:rsidRPr="003E5F78" w:rsidRDefault="008A72E6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3E5F78">
        <w:rPr>
          <w:rFonts w:asciiTheme="majorHAnsi" w:hAnsiTheme="majorHAnsi" w:cstheme="minorHAnsi"/>
          <w:sz w:val="22"/>
          <w:szCs w:val="22"/>
        </w:rPr>
        <w:t>Организација Здраво да сте из Бањалуке већ скоро три деценије ради са дјецом и младима, а наредне године обиљежавамо 30 година постојања и континуираног рада у заједници.</w:t>
      </w:r>
      <w:proofErr w:type="gramEnd"/>
      <w:r w:rsidRPr="003E5F78">
        <w:rPr>
          <w:rFonts w:asciiTheme="majorHAnsi" w:hAnsiTheme="majorHAnsi" w:cstheme="minorHAnsi"/>
          <w:sz w:val="22"/>
          <w:szCs w:val="22"/>
        </w:rPr>
        <w:t xml:space="preserve"> Ову иницијативу 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>подносимо</w:t>
      </w:r>
      <w:r w:rsidRPr="003E5F78">
        <w:rPr>
          <w:rFonts w:asciiTheme="majorHAnsi" w:hAnsiTheme="majorHAnsi" w:cstheme="minorHAnsi"/>
          <w:sz w:val="22"/>
          <w:szCs w:val="22"/>
        </w:rPr>
        <w:t xml:space="preserve"> заједно са нашим дугогодишњим партнерима – </w:t>
      </w:r>
      <w:r w:rsidRPr="003E5F78">
        <w:rPr>
          <w:rFonts w:asciiTheme="majorHAnsi" w:hAnsiTheme="majorHAnsi" w:cstheme="minorHAnsi"/>
          <w:bCs/>
          <w:sz w:val="22"/>
          <w:szCs w:val="22"/>
        </w:rPr>
        <w:t>М.О.Ц.А.Р.Т. Републике Српске – Мреж</w:t>
      </w:r>
      <w:r w:rsidRPr="003E5F78">
        <w:rPr>
          <w:rFonts w:asciiTheme="majorHAnsi" w:hAnsiTheme="majorHAnsi" w:cstheme="minorHAnsi"/>
          <w:bCs/>
          <w:sz w:val="22"/>
          <w:szCs w:val="22"/>
          <w:lang w:val="sr-Cyrl-BA"/>
        </w:rPr>
        <w:t>ом</w:t>
      </w:r>
      <w:r w:rsidRPr="003E5F78">
        <w:rPr>
          <w:rFonts w:asciiTheme="majorHAnsi" w:hAnsiTheme="majorHAnsi" w:cstheme="minorHAnsi"/>
          <w:bCs/>
          <w:sz w:val="22"/>
          <w:szCs w:val="22"/>
        </w:rPr>
        <w:t xml:space="preserve"> Омладинских Центара за Анимацију, Развој и Тренинг</w:t>
      </w:r>
      <w:r w:rsidRPr="003E5F78">
        <w:rPr>
          <w:rFonts w:asciiTheme="majorHAnsi" w:hAnsiTheme="majorHAnsi" w:cstheme="minorHAnsi"/>
          <w:bCs/>
          <w:sz w:val="22"/>
          <w:szCs w:val="22"/>
          <w:lang w:val="sr-Cyrl-BA"/>
        </w:rPr>
        <w:t>,</w:t>
      </w:r>
      <w:r w:rsidRPr="003E5F78">
        <w:rPr>
          <w:rFonts w:asciiTheme="majorHAnsi" w:hAnsiTheme="majorHAnsi" w:cstheme="minorHAnsi"/>
          <w:bCs/>
          <w:sz w:val="22"/>
          <w:szCs w:val="22"/>
          <w:lang w:val="sr-Latn-BA"/>
        </w:rPr>
        <w:t xml:space="preserve"> </w:t>
      </w:r>
      <w:r w:rsidRPr="003E5F78">
        <w:rPr>
          <w:rFonts w:asciiTheme="majorHAnsi" w:hAnsiTheme="majorHAnsi" w:cstheme="minorHAnsi"/>
          <w:bCs/>
          <w:sz w:val="22"/>
          <w:szCs w:val="22"/>
          <w:lang w:val="sr-Cyrl-BA"/>
        </w:rPr>
        <w:t xml:space="preserve">чија смо чланица, </w:t>
      </w:r>
      <w:r w:rsidRPr="003E5F78">
        <w:rPr>
          <w:rFonts w:asciiTheme="majorHAnsi" w:hAnsiTheme="majorHAnsi" w:cstheme="minorHAnsi"/>
          <w:sz w:val="22"/>
          <w:szCs w:val="22"/>
        </w:rPr>
        <w:t>удружењима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>:</w:t>
      </w:r>
      <w:r w:rsidR="00040B9F">
        <w:rPr>
          <w:rFonts w:asciiTheme="majorHAnsi" w:hAnsiTheme="majorHAnsi" w:cstheme="minorHAnsi"/>
          <w:sz w:val="22"/>
          <w:szCs w:val="22"/>
        </w:rPr>
        <w:t xml:space="preserve"> </w:t>
      </w:r>
      <w:r w:rsidR="00040B9F">
        <w:rPr>
          <w:rFonts w:asciiTheme="majorHAnsi" w:hAnsiTheme="majorHAnsi" w:cstheme="minorHAnsi"/>
          <w:sz w:val="22"/>
          <w:szCs w:val="22"/>
          <w:lang w:val="sr-Cyrl-BA"/>
        </w:rPr>
        <w:t>Ц.Е.З.А.Р</w:t>
      </w:r>
      <w:r w:rsidRPr="003E5F78">
        <w:rPr>
          <w:rFonts w:asciiTheme="majorHAnsi" w:hAnsiTheme="majorHAnsi" w:cstheme="minorHAnsi"/>
          <w:sz w:val="22"/>
          <w:szCs w:val="22"/>
        </w:rPr>
        <w:t xml:space="preserve">. Србац, Омладинским центром Прњавор и Удружењем Мост из Градишке. 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>Ове организације</w:t>
      </w:r>
      <w:r w:rsidRPr="003E5F78">
        <w:rPr>
          <w:rFonts w:asciiTheme="majorHAnsi" w:hAnsiTheme="majorHAnsi" w:cstheme="minorHAnsi"/>
          <w:sz w:val="22"/>
          <w:szCs w:val="22"/>
        </w:rPr>
        <w:t xml:space="preserve"> су међу најактивнијим и најрепрезентативнијим у својим заједницама, са којима годинама реализујемо програме подршке младима и развоја омладинских центара. </w:t>
      </w:r>
    </w:p>
    <w:p w14:paraId="4D77C9C3" w14:textId="77777777" w:rsidR="004060D1" w:rsidRPr="00040B9F" w:rsidRDefault="004060D1">
      <w:pPr>
        <w:jc w:val="both"/>
        <w:rPr>
          <w:rFonts w:asciiTheme="majorHAnsi" w:hAnsiTheme="majorHAnsi" w:cstheme="minorHAnsi"/>
          <w:sz w:val="22"/>
          <w:szCs w:val="22"/>
          <w:lang w:val="sr-Cyrl-BA"/>
        </w:rPr>
      </w:pPr>
    </w:p>
    <w:p w14:paraId="07841D7D" w14:textId="77777777" w:rsidR="004060D1" w:rsidRPr="003E5F78" w:rsidRDefault="008A72E6">
      <w:pPr>
        <w:jc w:val="both"/>
        <w:rPr>
          <w:rFonts w:asciiTheme="majorHAnsi" w:hAnsiTheme="majorHAnsi" w:cstheme="minorHAnsi"/>
          <w:sz w:val="22"/>
          <w:szCs w:val="22"/>
        </w:rPr>
      </w:pPr>
      <w:r w:rsidRPr="003E5F78">
        <w:rPr>
          <w:rFonts w:asciiTheme="majorHAnsi" w:hAnsiTheme="majorHAnsi" w:cstheme="minorHAnsi"/>
          <w:sz w:val="22"/>
          <w:szCs w:val="22"/>
        </w:rPr>
        <w:t>Према Закону о омладинском организовању Републике Српске, омладински центар је „приступачан и прилагођен простор за младе у којем се младима у континуитету пружају активности и програми засновани на методама и принципима неформалног образовања са циљем развоја младих у свјесне, одговорне чланове заједнице и стварања услова за остваривање њихових пуних потенцијала</w:t>
      </w:r>
      <w:proofErr w:type="gramStart"/>
      <w:r w:rsidRPr="003E5F78">
        <w:rPr>
          <w:rFonts w:asciiTheme="majorHAnsi" w:hAnsiTheme="majorHAnsi" w:cstheme="minorHAnsi"/>
          <w:sz w:val="22"/>
          <w:szCs w:val="22"/>
        </w:rPr>
        <w:t>.“</w:t>
      </w:r>
      <w:proofErr w:type="gramEnd"/>
    </w:p>
    <w:p w14:paraId="726C05E5" w14:textId="77777777" w:rsidR="004060D1" w:rsidRPr="003E5F78" w:rsidRDefault="004060D1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352B18F4" w14:textId="77777777" w:rsidR="004060D1" w:rsidRPr="003E5F78" w:rsidRDefault="008A72E6">
      <w:pPr>
        <w:jc w:val="both"/>
        <w:rPr>
          <w:rFonts w:asciiTheme="majorHAnsi" w:hAnsiTheme="majorHAnsi" w:cstheme="minorHAnsi"/>
          <w:sz w:val="22"/>
          <w:szCs w:val="22"/>
        </w:rPr>
      </w:pPr>
      <w:proofErr w:type="gramStart"/>
      <w:r w:rsidRPr="003E5F78">
        <w:rPr>
          <w:rFonts w:asciiTheme="majorHAnsi" w:hAnsiTheme="majorHAnsi" w:cstheme="minorHAnsi"/>
          <w:sz w:val="22"/>
          <w:szCs w:val="22"/>
        </w:rPr>
        <w:t>Омладинскa политикa Републике Српске 2023–2027 препознају омладинске центре као кључне актере у унапређивању положаја младих.</w:t>
      </w:r>
      <w:proofErr w:type="gramEnd"/>
      <w:r w:rsidRPr="003E5F78">
        <w:rPr>
          <w:rFonts w:asciiTheme="majorHAnsi" w:hAnsiTheme="majorHAnsi" w:cstheme="minorHAnsi"/>
          <w:sz w:val="22"/>
          <w:szCs w:val="22"/>
        </w:rPr>
        <w:t xml:space="preserve"> Њихов допринос је директан и мјерљив: јачају компетенције младих, повећавају њихову запошљивост, доприносе превенцији ризичних понашања и утичу на смањење емиграције кроз стварање </w:t>
      </w:r>
      <w:proofErr w:type="gramStart"/>
      <w:r w:rsidRPr="003E5F78">
        <w:rPr>
          <w:rFonts w:asciiTheme="majorHAnsi" w:hAnsiTheme="majorHAnsi" w:cstheme="minorHAnsi"/>
          <w:sz w:val="22"/>
          <w:szCs w:val="22"/>
        </w:rPr>
        <w:t>локалних</w:t>
      </w:r>
      <w:proofErr w:type="gramEnd"/>
      <w:r w:rsidRPr="003E5F78">
        <w:rPr>
          <w:rFonts w:asciiTheme="majorHAnsi" w:hAnsiTheme="majorHAnsi" w:cstheme="minorHAnsi"/>
          <w:sz w:val="22"/>
          <w:szCs w:val="22"/>
        </w:rPr>
        <w:t xml:space="preserve"> прилика за развој и активно учешће.</w:t>
      </w:r>
    </w:p>
    <w:p w14:paraId="51691EBC" w14:textId="77777777" w:rsidR="004060D1" w:rsidRPr="003E5F78" w:rsidRDefault="004060D1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48CCE0D2" w14:textId="77777777" w:rsidR="004060D1" w:rsidRPr="003E5F78" w:rsidRDefault="008A72E6">
      <w:pPr>
        <w:jc w:val="both"/>
        <w:rPr>
          <w:rFonts w:asciiTheme="majorHAnsi" w:hAnsiTheme="majorHAnsi" w:cstheme="minorHAnsi"/>
          <w:sz w:val="22"/>
          <w:szCs w:val="22"/>
        </w:rPr>
      </w:pPr>
      <w:proofErr w:type="gramStart"/>
      <w:r w:rsidRPr="003E5F78">
        <w:rPr>
          <w:rFonts w:asciiTheme="majorHAnsi" w:hAnsiTheme="majorHAnsi" w:cstheme="minorHAnsi"/>
          <w:sz w:val="22"/>
          <w:szCs w:val="22"/>
        </w:rPr>
        <w:t>Међутим,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 омладински центри у Републици Српској су суочени са </w:t>
      </w:r>
      <w:r w:rsidRPr="003E5F78">
        <w:rPr>
          <w:rFonts w:asciiTheme="majorHAnsi" w:hAnsiTheme="majorHAnsi" w:cstheme="minorHAnsi"/>
          <w:sz w:val="22"/>
          <w:szCs w:val="22"/>
        </w:rPr>
        <w:t>дугогодишњ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>им</w:t>
      </w:r>
      <w:r w:rsidRPr="003E5F78">
        <w:rPr>
          <w:rFonts w:asciiTheme="majorHAnsi" w:hAnsiTheme="majorHAnsi" w:cstheme="minorHAnsi"/>
          <w:sz w:val="22"/>
          <w:szCs w:val="22"/>
        </w:rPr>
        <w:t xml:space="preserve"> проблем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>ом</w:t>
      </w:r>
      <w:r w:rsidRPr="003E5F78">
        <w:rPr>
          <w:rFonts w:asciiTheme="majorHAnsi" w:hAnsiTheme="majorHAnsi" w:cstheme="minorHAnsi"/>
          <w:sz w:val="22"/>
          <w:szCs w:val="22"/>
        </w:rPr>
        <w:t xml:space="preserve"> неодрживог финансирања, који директно утиче на могућност да млади имају сигуран, квалитетан и развојно усмјерен простор у својој локалној заједници.</w:t>
      </w:r>
      <w:proofErr w:type="gramEnd"/>
      <w:r w:rsidRPr="003E5F78">
        <w:rPr>
          <w:rFonts w:asciiTheme="majorHAnsi" w:hAnsiTheme="majorHAnsi" w:cstheme="minorHAnsi"/>
          <w:sz w:val="22"/>
          <w:szCs w:val="22"/>
        </w:rPr>
        <w:t xml:space="preserve"> </w:t>
      </w:r>
      <w:proofErr w:type="gramStart"/>
      <w:r w:rsidRPr="003E5F78">
        <w:rPr>
          <w:rFonts w:asciiTheme="majorHAnsi" w:hAnsiTheme="majorHAnsi" w:cstheme="minorHAnsi"/>
          <w:sz w:val="22"/>
          <w:szCs w:val="22"/>
        </w:rPr>
        <w:t xml:space="preserve">Стабилна подршка 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>омладинским центрима</w:t>
      </w:r>
      <w:r w:rsidRPr="003E5F78">
        <w:rPr>
          <w:rFonts w:asciiTheme="majorHAnsi" w:hAnsiTheme="majorHAnsi" w:cstheme="minorHAnsi"/>
          <w:sz w:val="22"/>
          <w:szCs w:val="22"/>
        </w:rPr>
        <w:t xml:space="preserve"> је кључна за развој компетенција младих, њихову укљученост у заједницу и смањење одласка младих из Републике Српске.</w:t>
      </w:r>
      <w:proofErr w:type="gramEnd"/>
      <w:r w:rsidRPr="003E5F78">
        <w:rPr>
          <w:rFonts w:asciiTheme="majorHAnsi" w:hAnsiTheme="majorHAnsi" w:cstheme="minorHAnsi"/>
          <w:sz w:val="22"/>
          <w:szCs w:val="22"/>
        </w:rPr>
        <w:t xml:space="preserve"> 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 Б</w:t>
      </w:r>
      <w:r w:rsidRPr="003E5F78">
        <w:rPr>
          <w:rFonts w:asciiTheme="majorHAnsi" w:hAnsiTheme="majorHAnsi" w:cstheme="minorHAnsi"/>
          <w:sz w:val="22"/>
          <w:szCs w:val="22"/>
        </w:rPr>
        <w:t>ез институционалне подршке и стабилног финансирања, омладинским центрима је изузетно тешко да свакодневно спроводе своје активности, одржавају стручне тимове и континуирано одговарају на потребе младих и заједнице. То доводи до смањења програма, преоптерећења запослених и ограничених могућности да прате растуће изазове са којима се млади сусрећу, што се директно одражава и на заједницу: мање је сигурних и квалитетних мјеста за младе, а ризик од њиховог одласка постаје још већи.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 С тога указујемо </w:t>
      </w:r>
      <w:r w:rsidRPr="003E5F78">
        <w:rPr>
          <w:rFonts w:asciiTheme="majorHAnsi" w:hAnsiTheme="majorHAnsi" w:cstheme="minorHAnsi"/>
          <w:sz w:val="22"/>
          <w:szCs w:val="22"/>
        </w:rPr>
        <w:t xml:space="preserve">на хитност рјешавања овог проблема и 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>позивамо</w:t>
      </w:r>
      <w:r w:rsidRPr="003E5F78">
        <w:rPr>
          <w:rFonts w:asciiTheme="majorHAnsi" w:hAnsiTheme="majorHAnsi" w:cstheme="minorHAnsi"/>
          <w:sz w:val="22"/>
          <w:szCs w:val="22"/>
        </w:rPr>
        <w:t xml:space="preserve"> надлежне институције да успоставе јасне, предвидиве и дугорочне механизме финансијске подршке омладинским центрима.</w:t>
      </w:r>
    </w:p>
    <w:p w14:paraId="76D9BFE9" w14:textId="77777777" w:rsidR="004060D1" w:rsidRPr="003E5F78" w:rsidRDefault="004060D1">
      <w:pPr>
        <w:jc w:val="both"/>
        <w:rPr>
          <w:rFonts w:asciiTheme="majorHAnsi" w:hAnsiTheme="majorHAnsi" w:cstheme="minorHAnsi"/>
          <w:sz w:val="22"/>
          <w:szCs w:val="22"/>
        </w:rPr>
      </w:pPr>
    </w:p>
    <w:p w14:paraId="1AA455DE" w14:textId="77777777" w:rsidR="004060D1" w:rsidRPr="003E5F78" w:rsidRDefault="008A72E6" w:rsidP="00031DBE">
      <w:pPr>
        <w:spacing w:before="100" w:beforeAutospacing="1" w:after="100" w:afterAutospacing="1"/>
        <w:jc w:val="both"/>
        <w:rPr>
          <w:rFonts w:asciiTheme="majorHAnsi" w:hAnsiTheme="majorHAnsi" w:cstheme="minorHAnsi"/>
          <w:sz w:val="22"/>
          <w:szCs w:val="22"/>
          <w:lang w:val="sr-Cyrl-BA"/>
        </w:rPr>
      </w:pPr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Иницијатву заснивамо на резултатима </w:t>
      </w:r>
      <w:r w:rsidRPr="003E5F78">
        <w:rPr>
          <w:rFonts w:asciiTheme="majorHAnsi" w:hAnsiTheme="majorHAnsi" w:cstheme="minorHAnsi"/>
          <w:sz w:val="22"/>
          <w:szCs w:val="22"/>
        </w:rPr>
        <w:t xml:space="preserve">Cost-benefit анализа (BCR) 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коју смо урадили у августу 2025. године. </w:t>
      </w:r>
      <w:proofErr w:type="gramStart"/>
      <w:r w:rsidRPr="003E5F78">
        <w:rPr>
          <w:rFonts w:asciiTheme="majorHAnsi" w:hAnsiTheme="majorHAnsi" w:cstheme="minorHAnsi"/>
          <w:sz w:val="22"/>
          <w:szCs w:val="22"/>
        </w:rPr>
        <w:t>Cost-benefit анализа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 је обухватила рад </w:t>
      </w:r>
      <w:r w:rsidRPr="003E5F78">
        <w:rPr>
          <w:rFonts w:asciiTheme="majorHAnsi" w:hAnsiTheme="majorHAnsi" w:cstheme="minorHAnsi"/>
          <w:sz w:val="22"/>
          <w:szCs w:val="22"/>
        </w:rPr>
        <w:t>четири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 омладинска</w:t>
      </w:r>
      <w:r w:rsidRPr="003E5F78">
        <w:rPr>
          <w:rFonts w:asciiTheme="majorHAnsi" w:hAnsiTheme="majorHAnsi" w:cstheme="minorHAnsi"/>
          <w:sz w:val="22"/>
          <w:szCs w:val="22"/>
        </w:rPr>
        <w:t xml:space="preserve"> </w:t>
      </w:r>
      <w:r w:rsidRPr="003E5F78">
        <w:rPr>
          <w:rFonts w:asciiTheme="majorHAnsi" w:hAnsiTheme="majorHAnsi" w:cstheme="minorHAnsi"/>
          <w:sz w:val="22"/>
          <w:szCs w:val="22"/>
        </w:rPr>
        <w:lastRenderedPageBreak/>
        <w:t>центра у Републици Српској, за период 2020–2024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>.</w:t>
      </w:r>
      <w:proofErr w:type="gramEnd"/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 године и</w:t>
      </w:r>
      <w:r w:rsidRPr="003E5F78">
        <w:rPr>
          <w:rFonts w:asciiTheme="majorHAnsi" w:hAnsiTheme="majorHAnsi" w:cstheme="minorHAnsi"/>
          <w:sz w:val="22"/>
          <w:szCs w:val="22"/>
        </w:rPr>
        <w:t xml:space="preserve"> показује да свака уложена 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>конвертибилна марка</w:t>
      </w:r>
      <w:r w:rsidRPr="003E5F78">
        <w:rPr>
          <w:rFonts w:asciiTheme="majorHAnsi" w:hAnsiTheme="majorHAnsi" w:cstheme="minorHAnsi"/>
          <w:sz w:val="22"/>
          <w:szCs w:val="22"/>
        </w:rPr>
        <w:t xml:space="preserve"> враћа заједници и до 2,36 КМ. </w:t>
      </w:r>
      <w:proofErr w:type="gramStart"/>
      <w:r w:rsidRPr="003E5F78">
        <w:rPr>
          <w:rFonts w:asciiTheme="majorHAnsi" w:hAnsiTheme="majorHAnsi" w:cstheme="minorHAnsi"/>
          <w:sz w:val="22"/>
          <w:szCs w:val="22"/>
        </w:rPr>
        <w:t>То значи да омладински центри доносе јасне и мјерљиве користи заједници, јачају друштвену кохезију, развијају будуће кадрове и спречавају емиграцију младих.</w:t>
      </w:r>
      <w:proofErr w:type="gramEnd"/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>П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ојединачно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>, омладински центри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 xml:space="preserve"> обухваћени анализом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доносе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 xml:space="preserve"> у просјеку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повратак од 1,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5-2,36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КМ за сваку уложену 1 КМ. Сви анализирани центри задовољавају критеријум оправданости улагања (BCR &gt; 1).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 xml:space="preserve">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Резултати cost-benefit анализе су недвосмислени: </w:t>
      </w:r>
      <w:r w:rsidRPr="003E5F78">
        <w:rPr>
          <w:rFonts w:asciiTheme="majorHAnsi" w:hAnsiTheme="majorHAnsi"/>
          <w:b/>
          <w:sz w:val="22"/>
          <w:szCs w:val="22"/>
          <w:lang w:val="sr-Latn-BA" w:eastAsia="sr-Latn-BA"/>
        </w:rPr>
        <w:t>омладински центри су економски оправдана улагања.</w:t>
      </w:r>
    </w:p>
    <w:p w14:paraId="77A9E34B" w14:textId="3AC3E4E4" w:rsidR="004060D1" w:rsidRPr="003E5F78" w:rsidRDefault="008A72E6">
      <w:pPr>
        <w:jc w:val="both"/>
        <w:rPr>
          <w:rFonts w:ascii="Cambria" w:eastAsia="Cambria" w:hAnsi="Cambria" w:cs="Cambria"/>
          <w:color w:val="000000" w:themeColor="text1"/>
          <w:sz w:val="22"/>
          <w:szCs w:val="22"/>
        </w:rPr>
      </w:pPr>
      <w:proofErr w:type="gramStart"/>
      <w:r w:rsidRPr="003E5F78">
        <w:rPr>
          <w:rFonts w:asciiTheme="majorHAnsi" w:hAnsiTheme="majorHAnsi" w:cstheme="minorHAnsi"/>
          <w:sz w:val="22"/>
          <w:szCs w:val="22"/>
        </w:rPr>
        <w:t>Иако су омладински центри законски дефинисани</w:t>
      </w:r>
      <w:r w:rsidR="000D73EE" w:rsidRPr="003E5F78">
        <w:rPr>
          <w:rFonts w:asciiTheme="majorHAnsi" w:hAnsiTheme="majorHAnsi" w:cstheme="minorHAnsi"/>
          <w:sz w:val="22"/>
          <w:szCs w:val="22"/>
        </w:rPr>
        <w:t xml:space="preserve"> као кључна мјеста у заједници </w:t>
      </w:r>
      <w:r w:rsidRPr="003E5F78">
        <w:rPr>
          <w:rFonts w:asciiTheme="majorHAnsi" w:hAnsiTheme="majorHAnsi" w:cstheme="minorHAnsi"/>
          <w:sz w:val="22"/>
          <w:szCs w:val="22"/>
        </w:rPr>
        <w:t>према Закону о омладинском организовању</w:t>
      </w:r>
      <w:r w:rsidR="000D73EE"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 (члан 2)</w:t>
      </w:r>
      <w:r w:rsidRPr="003E5F78">
        <w:rPr>
          <w:rFonts w:asciiTheme="majorHAnsi" w:hAnsiTheme="majorHAnsi" w:cstheme="minorHAnsi"/>
          <w:sz w:val="22"/>
          <w:szCs w:val="22"/>
        </w:rPr>
        <w:t xml:space="preserve"> у пракси се суочавају са критичним препрекама.</w:t>
      </w:r>
      <w:proofErr w:type="gramEnd"/>
      <w:r w:rsidRPr="003E5F78">
        <w:rPr>
          <w:rFonts w:asciiTheme="majorHAnsi" w:hAnsiTheme="majorHAnsi" w:cstheme="minorHAnsi"/>
          <w:sz w:val="22"/>
          <w:szCs w:val="22"/>
        </w:rPr>
        <w:t xml:space="preserve"> </w:t>
      </w:r>
      <w:proofErr w:type="gramStart"/>
      <w:r w:rsidRPr="003E5F78">
        <w:rPr>
          <w:rFonts w:asciiTheme="majorHAnsi" w:hAnsiTheme="majorHAnsi" w:cstheme="minorHAnsi"/>
          <w:sz w:val="22"/>
          <w:szCs w:val="22"/>
        </w:rPr>
        <w:t>Финансирање је нестабилно - центри „преживљавају" од пројекта до пројекта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 који су најчешће краткорочног карактера (3-6 мјесеци)</w:t>
      </w:r>
      <w:r w:rsidRPr="003E5F78">
        <w:rPr>
          <w:rFonts w:asciiTheme="majorHAnsi" w:hAnsiTheme="majorHAnsi" w:cstheme="minorHAnsi"/>
          <w:sz w:val="22"/>
          <w:szCs w:val="22"/>
        </w:rPr>
        <w:t xml:space="preserve"> што онемогућава дугорочно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 стратешко планирање</w:t>
      </w:r>
      <w:r w:rsidRPr="003E5F78">
        <w:rPr>
          <w:rFonts w:asciiTheme="majorHAnsi" w:hAnsiTheme="majorHAnsi" w:cstheme="minorHAnsi"/>
          <w:sz w:val="22"/>
          <w:szCs w:val="22"/>
        </w:rPr>
        <w:t xml:space="preserve"> 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>и одрживост програмских активности који центри пружају младима у заједници.</w:t>
      </w:r>
      <w:proofErr w:type="gramEnd"/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 Доступност и прилике за средства међународних фондова и организација је у опадању у посљедњих неколико година, финансирање из средстава локакалне заједнице износи 10-30% док финансирање из републичких средстава у просјеку износи 2-3% по центру (реузтати </w:t>
      </w:r>
      <w:r w:rsidRPr="003E5F78">
        <w:rPr>
          <w:rFonts w:asciiTheme="majorHAnsi" w:hAnsiTheme="majorHAnsi" w:cstheme="minorHAnsi"/>
          <w:sz w:val="22"/>
          <w:szCs w:val="22"/>
          <w:lang w:val="sr-Latn-BA"/>
        </w:rPr>
        <w:t xml:space="preserve">Cost benefit 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>анализе</w:t>
      </w:r>
      <w:r w:rsidRPr="003E5F78">
        <w:rPr>
          <w:rFonts w:asciiTheme="majorHAnsi" w:hAnsiTheme="majorHAnsi" w:cstheme="minorHAnsi"/>
          <w:sz w:val="22"/>
          <w:szCs w:val="22"/>
          <w:lang w:val="sr-Latn-BA"/>
        </w:rPr>
        <w:t>)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>.</w:t>
      </w:r>
      <w:r w:rsidRPr="003E5F78">
        <w:rPr>
          <w:rFonts w:asciiTheme="majorHAnsi" w:hAnsiTheme="majorHAnsi" w:cstheme="minorHAnsi"/>
          <w:color w:val="000000" w:themeColor="text1"/>
          <w:sz w:val="22"/>
          <w:szCs w:val="22"/>
          <w:lang w:val="sr-Cyrl-BA"/>
        </w:rPr>
        <w:t xml:space="preserve"> О</w:t>
      </w:r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граниченост средстава онемогућава снажнији развој програмских садржаја и дугорочну одрживост центра. </w:t>
      </w:r>
      <w:proofErr w:type="gramStart"/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>Зато је од кључне важности да власти препознају потребу повећања издвајања за програмске активности и улагања, јер само на тај начин омладински центар може остварити своју пуну улогу и бити прави сервис младих у заједници.</w:t>
      </w:r>
      <w:proofErr w:type="gramEnd"/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</w:t>
      </w:r>
      <w:proofErr w:type="gramStart"/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>Тренутни начин финансирања омладинских центара није одржив.</w:t>
      </w:r>
      <w:proofErr w:type="gramEnd"/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</w:t>
      </w:r>
    </w:p>
    <w:p w14:paraId="4B81A251" w14:textId="77777777" w:rsidR="004060D1" w:rsidRPr="003E5F78" w:rsidRDefault="004060D1">
      <w:pPr>
        <w:jc w:val="both"/>
        <w:rPr>
          <w:rFonts w:asciiTheme="majorHAnsi" w:hAnsiTheme="majorHAnsi" w:cstheme="minorHAnsi"/>
          <w:sz w:val="22"/>
          <w:szCs w:val="22"/>
          <w:shd w:val="clear" w:color="auto" w:fill="FFFF00"/>
          <w:lang w:val="sr-Cyrl-BA"/>
        </w:rPr>
      </w:pPr>
    </w:p>
    <w:p w14:paraId="473CD0D2" w14:textId="3996C0DC" w:rsidR="004060D1" w:rsidRPr="003E5F78" w:rsidRDefault="008A72E6" w:rsidP="00031DBE">
      <w:pPr>
        <w:jc w:val="both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>Ук</w:t>
      </w:r>
      <w:r w:rsidR="0022306A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олико се осврнемо на регион: у </w:t>
      </w:r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>Словенији, различити министарства подржавају мјере омладинске политике у складу са својим надлежностима</w:t>
      </w:r>
      <w:proofErr w:type="gramStart"/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>,  средства</w:t>
      </w:r>
      <w:proofErr w:type="gramEnd"/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за омладинско неформално образовање и активности омладинских центара су суфинансирана преко државног буџета (путем Урада за младину) и локалних самоуправа. У „Одлуци о расподјели финанцијских средстава за оснивање / опремање центара“ (2023) Републике Хрватске, је наведено да се од државних средстава додјељују конкретна буџетска средства за центаре за младе што имплицира да постоји „линија“ или механизам у државном буџету за  тај сектор.  </w:t>
      </w:r>
    </w:p>
    <w:p w14:paraId="0323E880" w14:textId="77777777" w:rsidR="004060D1" w:rsidRPr="003E5F78" w:rsidRDefault="008A72E6">
      <w:pPr>
        <w:jc w:val="both"/>
        <w:rPr>
          <w:rFonts w:ascii="Cambria" w:eastAsia="Cambria" w:hAnsi="Cambria" w:cs="Cambria"/>
          <w:color w:val="000000" w:themeColor="text1"/>
          <w:sz w:val="22"/>
          <w:szCs w:val="22"/>
        </w:rPr>
      </w:pPr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Такође, физичка инфраструктура је често неадекватна: центри раде у малим, лоше гријаним просторијама без основне опреме. Као примјер добре праксе наводимо Министарство науке, образовања и младих Републике Хрватске (раније: Државни уред за младе) који има јавне позиве за оснивање и опремање центара за младе. </w:t>
      </w:r>
      <w:proofErr w:type="gramStart"/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>Такође, примјер инфраструктурног улагања је и Министарство омладине Републике Србије које је подржало оснивање омладинских центара у више градова.</w:t>
      </w:r>
      <w:proofErr w:type="gramEnd"/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 У Србији су развијени „Стандарди омладинских простора</w:t>
      </w:r>
      <w:proofErr w:type="gramStart"/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>“ (</w:t>
      </w:r>
      <w:proofErr w:type="gramEnd"/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омладински клубови, центри, ресурски центри) као оквир за добијање „лиценце“ или акредитације простора за младе. </w:t>
      </w:r>
      <w:proofErr w:type="gramStart"/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>Кроз мрежу М.О.Ц.А.Р.Т такође су дефинисани усвојени стандарди омладинских центара у Републици Српској.</w:t>
      </w:r>
      <w:proofErr w:type="gramEnd"/>
    </w:p>
    <w:p w14:paraId="139B32AC" w14:textId="77777777" w:rsidR="004060D1" w:rsidRPr="003E5F78" w:rsidRDefault="008A72E6">
      <w:p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  <w:lang w:val="sr-Latn-BA" w:eastAsia="sr-Latn-BA"/>
        </w:rPr>
      </w:pPr>
      <w:r w:rsidRPr="003E5F78">
        <w:rPr>
          <w:rFonts w:asciiTheme="majorHAnsi" w:hAnsiTheme="majorHAnsi" w:cstheme="minorHAnsi"/>
          <w:sz w:val="22"/>
          <w:szCs w:val="22"/>
        </w:rPr>
        <w:lastRenderedPageBreak/>
        <w:t xml:space="preserve"> Кадровски капацитети су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 </w:t>
      </w:r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 xml:space="preserve">такође минимални - само пет трајно запослених особа ангажовано је у раду 4 центра обухваћених Cost benefit анализом, што је драматично мало за обим рада који се обавља. </w:t>
      </w:r>
      <w:proofErr w:type="gramStart"/>
      <w:r w:rsidRPr="003E5F78">
        <w:rPr>
          <w:rFonts w:ascii="Cambria" w:eastAsia="Cambria" w:hAnsi="Cambria" w:cs="Cambria"/>
          <w:color w:val="000000" w:themeColor="text1"/>
          <w:sz w:val="22"/>
          <w:szCs w:val="22"/>
        </w:rPr>
        <w:t>Подaци наше анализе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 xml:space="preserve">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>показују да три омладинска центра у Српцу, Теслићу и Бањој Луци обезбјеђују редовна радна мјеста.</w:t>
      </w:r>
      <w:proofErr w:type="gramEnd"/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Ово нису само бројке – то су породице које имају стабилну егзистенцију, стручњаци који улажу у свој развој и порески обвезници који доприносе буџету.</w:t>
      </w:r>
    </w:p>
    <w:p w14:paraId="43F39E7E" w14:textId="77777777" w:rsidR="004060D1" w:rsidRPr="003E5F78" w:rsidRDefault="008A72E6">
      <w:p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  <w:lang w:val="sr-Cyrl-BA" w:eastAsia="sr-Latn-BA"/>
        </w:rPr>
      </w:pPr>
      <w:r w:rsidRPr="003E5F78">
        <w:rPr>
          <w:rFonts w:asciiTheme="majorHAnsi" w:hAnsiTheme="majorHAnsi"/>
          <w:sz w:val="22"/>
          <w:szCs w:val="22"/>
          <w:lang w:val="sr-Latn-BA" w:eastAsia="sr-Latn-BA"/>
        </w:rPr>
        <w:t>Додатно финансирање омладинских центара није само захтјев за програмима, већ и захтјев за отварањем нових радних мјеста у мањим срединама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 xml:space="preserve">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>у којима садржаји и прилике за младе не постоје или су јако ограничене, спречавањем одлива мозгова и јачањем локалне привреде. Улагањем у омладинске центре улажемо у запосленост и стабилност локалних заједница.</w:t>
      </w:r>
    </w:p>
    <w:p w14:paraId="7414267B" w14:textId="77777777" w:rsidR="004060D1" w:rsidRPr="003E5F78" w:rsidRDefault="008A72E6">
      <w:pPr>
        <w:jc w:val="both"/>
        <w:rPr>
          <w:rFonts w:asciiTheme="majorHAnsi" w:hAnsiTheme="majorHAnsi" w:cstheme="minorHAnsi"/>
          <w:sz w:val="22"/>
          <w:szCs w:val="22"/>
          <w:lang w:val="sr-Cyrl-BA"/>
        </w:rPr>
      </w:pPr>
      <w:proofErr w:type="gramStart"/>
      <w:r w:rsidRPr="003E5F78">
        <w:rPr>
          <w:rFonts w:asciiTheme="majorHAnsi" w:hAnsiTheme="majorHAnsi" w:cstheme="minorHAnsi"/>
          <w:sz w:val="22"/>
          <w:szCs w:val="22"/>
        </w:rPr>
        <w:t>Темељни проблем је што нема јасног механизма који обавезује власти да финансирају центре.</w:t>
      </w:r>
      <w:proofErr w:type="gramEnd"/>
      <w:r w:rsidRPr="003E5F78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7B77BD1C" w14:textId="0D6BC440" w:rsidR="004060D1" w:rsidRPr="00040B9F" w:rsidRDefault="008A72E6" w:rsidP="00040B9F">
      <w:p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  <w:lang w:val="sr-Cyrl-BA" w:eastAsia="sr-Latn-BA"/>
        </w:rPr>
      </w:pP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Важно је успоставити дугорочно финансирање омладинских центара из републичког буџета кроз вишегодишње уговоре (минимун 2 године), што би им омогућило да планирају, развијају и унапређују своје програме, уместо да стално реагују на краткорочне захтјеве донатора. </w:t>
      </w:r>
    </w:p>
    <w:p w14:paraId="3B9EC8B8" w14:textId="77777777" w:rsidR="004060D1" w:rsidRPr="003E5F78" w:rsidRDefault="008A72E6">
      <w:pPr>
        <w:jc w:val="both"/>
        <w:rPr>
          <w:rFonts w:asciiTheme="majorHAnsi" w:hAnsiTheme="majorHAnsi" w:cstheme="minorHAnsi"/>
          <w:sz w:val="22"/>
          <w:szCs w:val="22"/>
          <w:lang w:val="sr-Cyrl-BA"/>
        </w:rPr>
      </w:pPr>
      <w:proofErr w:type="gramStart"/>
      <w:r w:rsidRPr="003E5F78">
        <w:rPr>
          <w:rFonts w:asciiTheme="majorHAnsi" w:hAnsiTheme="majorHAnsi" w:cstheme="minorHAnsi"/>
          <w:sz w:val="22"/>
          <w:szCs w:val="22"/>
        </w:rPr>
        <w:t>Демографски изазови у Републици Српској су озбиљни и хитни.</w:t>
      </w:r>
      <w:proofErr w:type="gramEnd"/>
      <w:r w:rsidRPr="003E5F78">
        <w:rPr>
          <w:rFonts w:asciiTheme="majorHAnsi" w:hAnsiTheme="majorHAnsi" w:cstheme="minorHAnsi"/>
          <w:sz w:val="22"/>
          <w:szCs w:val="22"/>
        </w:rPr>
        <w:t xml:space="preserve"> </w:t>
      </w:r>
      <w:proofErr w:type="gramStart"/>
      <w:r w:rsidRPr="003E5F78">
        <w:rPr>
          <w:rFonts w:asciiTheme="majorHAnsi" w:hAnsiTheme="majorHAnsi" w:cstheme="minorHAnsi"/>
          <w:sz w:val="22"/>
          <w:szCs w:val="22"/>
        </w:rPr>
        <w:t>Сваке године велики број младих напушта земљу, одводећи са собом енергију, таленте и будући економски потенцијал заједнице.</w:t>
      </w:r>
      <w:proofErr w:type="gramEnd"/>
      <w:r w:rsidRPr="003E5F78">
        <w:rPr>
          <w:rFonts w:asciiTheme="majorHAnsi" w:hAnsiTheme="majorHAnsi" w:cstheme="minorHAnsi"/>
          <w:sz w:val="22"/>
          <w:szCs w:val="22"/>
        </w:rPr>
        <w:t xml:space="preserve"> </w:t>
      </w:r>
      <w:proofErr w:type="gramStart"/>
      <w:r w:rsidRPr="003E5F78">
        <w:rPr>
          <w:rFonts w:asciiTheme="majorHAnsi" w:hAnsiTheme="majorHAnsi" w:cstheme="minorHAnsi"/>
          <w:sz w:val="22"/>
          <w:szCs w:val="22"/>
        </w:rPr>
        <w:t>Пост-пандемијски период показао је да млади требају интензивнију подршку за психосоцијални опоравак и за проналажење смисла.</w:t>
      </w:r>
      <w:proofErr w:type="gramEnd"/>
      <w:r w:rsidRPr="003E5F78">
        <w:rPr>
          <w:rFonts w:asciiTheme="majorHAnsi" w:hAnsiTheme="majorHAnsi" w:cstheme="minorHAnsi"/>
          <w:sz w:val="22"/>
          <w:szCs w:val="22"/>
        </w:rPr>
        <w:t xml:space="preserve"> </w:t>
      </w:r>
      <w:proofErr w:type="gramStart"/>
      <w:r w:rsidRPr="003E5F78">
        <w:rPr>
          <w:rFonts w:asciiTheme="majorHAnsi" w:hAnsiTheme="majorHAnsi" w:cstheme="minorHAnsi"/>
          <w:sz w:val="22"/>
          <w:szCs w:val="22"/>
        </w:rPr>
        <w:t>У контексту европских интеграција, јаке омладинске структуре и функционални омладински центри омогућавају Републици Српској да брже и ефикасније испуни стандарде и очекивања европских институција.</w:t>
      </w:r>
      <w:proofErr w:type="gramEnd"/>
      <w:r w:rsidRPr="003E5F78">
        <w:rPr>
          <w:rFonts w:asciiTheme="majorHAnsi" w:hAnsiTheme="majorHAnsi" w:cstheme="minorHAnsi"/>
          <w:sz w:val="22"/>
          <w:szCs w:val="22"/>
          <w:lang w:val="sr-Cyrl-BA"/>
        </w:rPr>
        <w:t xml:space="preserve"> </w:t>
      </w:r>
    </w:p>
    <w:p w14:paraId="558703E6" w14:textId="77777777" w:rsidR="004060D1" w:rsidRPr="003E5F78" w:rsidRDefault="008A72E6">
      <w:pPr>
        <w:jc w:val="both"/>
        <w:rPr>
          <w:rFonts w:asciiTheme="majorHAnsi" w:hAnsiTheme="majorHAnsi" w:cstheme="minorHAnsi"/>
          <w:sz w:val="22"/>
          <w:szCs w:val="22"/>
          <w:lang w:val="sr-Cyrl-BA"/>
        </w:rPr>
      </w:pPr>
      <w:proofErr w:type="gramStart"/>
      <w:r w:rsidRPr="003E5F78">
        <w:rPr>
          <w:rFonts w:asciiTheme="majorHAnsi" w:hAnsiTheme="majorHAnsi" w:cstheme="minorHAnsi"/>
          <w:sz w:val="22"/>
          <w:szCs w:val="22"/>
        </w:rPr>
        <w:t>Улагање у омладинске центре није само хуманитарни чин или одговорност према младима – иако је то важно.</w:t>
      </w:r>
      <w:proofErr w:type="gramEnd"/>
      <w:r w:rsidRPr="003E5F78">
        <w:rPr>
          <w:rFonts w:asciiTheme="majorHAnsi" w:hAnsiTheme="majorHAnsi" w:cstheme="minorHAnsi"/>
          <w:sz w:val="22"/>
          <w:szCs w:val="22"/>
        </w:rPr>
        <w:t xml:space="preserve"> </w:t>
      </w:r>
      <w:proofErr w:type="gramStart"/>
      <w:r w:rsidRPr="003E5F78">
        <w:rPr>
          <w:rFonts w:asciiTheme="majorHAnsi" w:hAnsiTheme="majorHAnsi" w:cstheme="minorHAnsi"/>
          <w:sz w:val="22"/>
          <w:szCs w:val="22"/>
        </w:rPr>
        <w:t>То је рационална економска одлука.</w:t>
      </w:r>
      <w:proofErr w:type="gramEnd"/>
      <w:r w:rsidRPr="003E5F78">
        <w:rPr>
          <w:rFonts w:asciiTheme="majorHAnsi" w:hAnsiTheme="majorHAnsi" w:cstheme="minorHAnsi"/>
          <w:sz w:val="22"/>
          <w:szCs w:val="22"/>
        </w:rPr>
        <w:t xml:space="preserve"> </w:t>
      </w:r>
    </w:p>
    <w:p w14:paraId="37AD6C37" w14:textId="77777777" w:rsidR="004060D1" w:rsidRPr="003E5F78" w:rsidRDefault="004060D1">
      <w:pPr>
        <w:jc w:val="both"/>
        <w:rPr>
          <w:rFonts w:asciiTheme="majorHAnsi" w:hAnsiTheme="majorHAnsi" w:cstheme="minorHAnsi"/>
          <w:sz w:val="22"/>
          <w:szCs w:val="22"/>
          <w:lang w:val="sr-Cyrl-BA"/>
        </w:rPr>
      </w:pPr>
    </w:p>
    <w:p w14:paraId="131D55C5" w14:textId="77777777" w:rsidR="004060D1" w:rsidRPr="003E5F78" w:rsidRDefault="008A72E6">
      <w:p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  <w:lang w:val="sr-Cyrl-BA" w:eastAsia="sr-Latn-BA"/>
        </w:rPr>
      </w:pPr>
      <w:r w:rsidRPr="003E5F78">
        <w:rPr>
          <w:rFonts w:asciiTheme="majorHAnsi" w:hAnsiTheme="majorHAnsi"/>
          <w:sz w:val="22"/>
          <w:szCs w:val="22"/>
          <w:lang w:val="sr-Latn-BA" w:eastAsia="sr-Latn-BA"/>
        </w:rPr>
        <w:t>Бројеви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 xml:space="preserve"> у нашој анализи даље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показују сљедеће,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четири центра реализују преко 1.200 активности годишње. Те активности укључују више од 3.000 младих корисника сваке године, и кроз њих се проведе преко 300 едукативних програма, оствари у просјеку 1000 волонтерских сати годишње. 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 xml:space="preserve">Ово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>није само статистик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а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- то су стварне људске везе и искуства која мијењају перспективу младих.</w:t>
      </w:r>
    </w:p>
    <w:p w14:paraId="67702D99" w14:textId="77777777" w:rsidR="004060D1" w:rsidRPr="003E5F78" w:rsidRDefault="008A72E6">
      <w:p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  <w:lang w:val="sr-Latn-BA" w:eastAsia="sr-Latn-BA"/>
        </w:rPr>
      </w:pPr>
      <w:r w:rsidRPr="003E5F78">
        <w:rPr>
          <w:rFonts w:asciiTheme="majorHAnsi" w:hAnsiTheme="majorHAnsi"/>
          <w:sz w:val="22"/>
          <w:szCs w:val="22"/>
          <w:lang w:val="sr-Latn-BA" w:eastAsia="sr-Latn-BA"/>
        </w:rPr>
        <w:t>Стабилно финансирање омладинских центара није само захтјев за програмима, већ и захтјев за отварањем нових радних мјеста у мањим срединама, спречавањем одлива мозгова и јачањем локалне привреде. Улагањем у омладинске центре улажемо у запосленост и стабилност локалних заједница.</w:t>
      </w:r>
    </w:p>
    <w:p w14:paraId="559227EA" w14:textId="77777777" w:rsidR="004060D1" w:rsidRPr="003E5F78" w:rsidRDefault="008A72E6">
      <w:p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  <w:lang w:val="sr-Latn-BA" w:eastAsia="sr-Latn-BA"/>
        </w:rPr>
      </w:pPr>
      <w:r w:rsidRPr="003E5F78">
        <w:rPr>
          <w:rFonts w:asciiTheme="majorHAnsi" w:hAnsiTheme="majorHAnsi"/>
          <w:sz w:val="22"/>
          <w:szCs w:val="22"/>
          <w:lang w:val="sr-Latn-BA" w:eastAsia="sr-Latn-BA"/>
        </w:rPr>
        <w:lastRenderedPageBreak/>
        <w:t xml:space="preserve">Квалитативна анализа, добијена кроз фокус групе са младима и локалним актерима, проведена током 2025. године, показује да центри играју много дубљу улогу него што бројевн могу показати. Центри су мјеста гдје се превенцијом спречавају ризична понашања и друштвена исклученост. То 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нису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само пасивни простори за сједење - то су мјеста активне партиципације гдје млади осјећају да имају глас и улогу. Кроз рад у центрима, јача се међугенеријска солидарност, јер се млади повезују са одраслима који их подржавају уместо да их осуђују.</w:t>
      </w:r>
    </w:p>
    <w:p w14:paraId="631213F9" w14:textId="77777777" w:rsidR="004060D1" w:rsidRPr="003E5F78" w:rsidRDefault="008A72E6">
      <w:pPr>
        <w:spacing w:before="100" w:beforeAutospacing="1" w:after="100" w:afterAutospacing="1"/>
        <w:jc w:val="both"/>
        <w:rPr>
          <w:rFonts w:asciiTheme="majorHAnsi" w:hAnsiTheme="majorHAnsi"/>
          <w:sz w:val="22"/>
          <w:szCs w:val="22"/>
          <w:lang w:val="sr-Cyrl-BA" w:eastAsia="sr-Latn-BA"/>
        </w:rPr>
      </w:pPr>
      <w:r w:rsidRPr="003E5F78">
        <w:rPr>
          <w:rFonts w:asciiTheme="majorHAnsi" w:hAnsiTheme="majorHAnsi"/>
          <w:sz w:val="22"/>
          <w:szCs w:val="22"/>
          <w:lang w:val="sr-Latn-BA" w:eastAsia="sr-Latn-BA"/>
        </w:rPr>
        <w:t>Можда је најзначајније: центри стварају отпор према емиграцији. Када млади виде да могу активно да доприносе својој заједници, да се њихов глас чује, и да постоје конкретне прилике за развој близу куће, већи је мотив да остану. Центри спречавају „одлив мозгова" - стварају прилике и везе које чине останак атрактивним.</w:t>
      </w:r>
    </w:p>
    <w:p w14:paraId="47951ABD" w14:textId="77777777" w:rsidR="004060D1" w:rsidRPr="003E5F78" w:rsidRDefault="008A72E6">
      <w:pPr>
        <w:jc w:val="both"/>
        <w:rPr>
          <w:rFonts w:asciiTheme="majorHAnsi" w:hAnsiTheme="majorHAnsi" w:cstheme="minorHAnsi"/>
          <w:sz w:val="22"/>
          <w:szCs w:val="22"/>
          <w:lang w:val="sr-Cyrl-BA"/>
        </w:rPr>
      </w:pPr>
      <w:r w:rsidRPr="003E5F78">
        <w:rPr>
          <w:rFonts w:asciiTheme="majorHAnsi" w:hAnsiTheme="majorHAnsi" w:cstheme="minorHAnsi"/>
          <w:sz w:val="22"/>
          <w:szCs w:val="22"/>
        </w:rPr>
        <w:t xml:space="preserve">Да би омладински центри у Републици Српској могли да функционишу стабилно, квалитетно и дугорочно, </w:t>
      </w:r>
      <w:r w:rsidRPr="003E5F78">
        <w:rPr>
          <w:rFonts w:asciiTheme="majorHAnsi" w:hAnsiTheme="majorHAnsi" w:cstheme="minorHAnsi"/>
          <w:sz w:val="22"/>
          <w:szCs w:val="22"/>
          <w:lang w:val="sr-Cyrl-BA"/>
        </w:rPr>
        <w:t>наше препоруке су сљедеће</w:t>
      </w:r>
      <w:r w:rsidRPr="003E5F78">
        <w:rPr>
          <w:rFonts w:asciiTheme="majorHAnsi" w:hAnsiTheme="majorHAnsi" w:cstheme="minorHAnsi"/>
          <w:sz w:val="22"/>
          <w:szCs w:val="22"/>
        </w:rPr>
        <w:t>:</w:t>
      </w:r>
    </w:p>
    <w:p w14:paraId="648F0A51" w14:textId="6C35E52A" w:rsidR="003E5F78" w:rsidRDefault="003E5F78" w:rsidP="00D25D2B">
      <w:pPr>
        <w:jc w:val="both"/>
        <w:rPr>
          <w:rFonts w:asciiTheme="majorHAnsi" w:hAnsiTheme="majorHAnsi" w:cstheme="minorHAnsi"/>
          <w:sz w:val="22"/>
          <w:szCs w:val="22"/>
          <w:lang w:val="sr-Cyrl-BA"/>
        </w:rPr>
      </w:pPr>
    </w:p>
    <w:p w14:paraId="5D2F9CF3" w14:textId="0ACB9F07" w:rsidR="00D25D2B" w:rsidRPr="00D25D2B" w:rsidRDefault="00D25D2B" w:rsidP="00D25D2B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inorHAnsi"/>
          <w:sz w:val="22"/>
          <w:szCs w:val="22"/>
          <w:lang w:val="sr-Cyrl-BA"/>
        </w:rPr>
      </w:pPr>
      <w:r>
        <w:rPr>
          <w:rFonts w:asciiTheme="majorHAnsi" w:hAnsiTheme="majorHAnsi" w:cstheme="minorHAnsi"/>
          <w:sz w:val="22"/>
          <w:szCs w:val="22"/>
          <w:lang w:val="sr-Cyrl-BA"/>
        </w:rPr>
        <w:t>Министарство породице, омладине и спорта и министар</w:t>
      </w:r>
      <w:r w:rsidR="00F9549F">
        <w:rPr>
          <w:rFonts w:asciiTheme="majorHAnsi" w:hAnsiTheme="majorHAnsi" w:cstheme="minorHAnsi"/>
          <w:sz w:val="22"/>
          <w:szCs w:val="22"/>
          <w:lang w:val="sr-Cyrl-BA"/>
        </w:rPr>
        <w:t>ство</w:t>
      </w:r>
      <w:r>
        <w:rPr>
          <w:rFonts w:asciiTheme="majorHAnsi" w:hAnsiTheme="majorHAnsi" w:cstheme="minorHAnsi"/>
          <w:sz w:val="22"/>
          <w:szCs w:val="22"/>
          <w:lang w:val="sr-Cyrl-BA"/>
        </w:rPr>
        <w:t xml:space="preserve"> финансија </w:t>
      </w:r>
    </w:p>
    <w:p w14:paraId="4BBE8D8A" w14:textId="77777777" w:rsidR="003E5F78" w:rsidRPr="003E5F78" w:rsidRDefault="003E5F78" w:rsidP="003E5F78">
      <w:pPr>
        <w:jc w:val="both"/>
        <w:rPr>
          <w:rFonts w:asciiTheme="majorHAnsi" w:hAnsiTheme="majorHAnsi" w:cstheme="minorHAnsi"/>
          <w:sz w:val="22"/>
          <w:szCs w:val="22"/>
          <w:lang w:val="sr-Cyrl-BA"/>
        </w:rPr>
      </w:pPr>
    </w:p>
    <w:p w14:paraId="3E2F91FD" w14:textId="287EFAE2" w:rsidR="004060D1" w:rsidRPr="003E5F78" w:rsidRDefault="008A72E6" w:rsidP="00D25D2B">
      <w:pPr>
        <w:pStyle w:val="BodyText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3E5F78">
        <w:rPr>
          <w:rFonts w:asciiTheme="majorHAnsi" w:hAnsiTheme="majorHAnsi"/>
          <w:b/>
          <w:bCs/>
          <w:sz w:val="22"/>
          <w:szCs w:val="22"/>
        </w:rPr>
        <w:t>Успоставити</w:t>
      </w:r>
      <w:r w:rsidRPr="003E5F78">
        <w:rPr>
          <w:rFonts w:asciiTheme="majorHAnsi" w:hAnsiTheme="majorHAnsi"/>
          <w:b/>
          <w:bCs/>
          <w:sz w:val="22"/>
          <w:szCs w:val="22"/>
          <w:lang w:val="sr-Cyrl-BA"/>
        </w:rPr>
        <w:t xml:space="preserve">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>посебну б</w:t>
      </w:r>
      <w:r w:rsidRPr="003E5F78">
        <w:rPr>
          <w:rFonts w:asciiTheme="majorHAnsi" w:hAnsiTheme="majorHAnsi"/>
          <w:b/>
          <w:bCs/>
          <w:sz w:val="22"/>
          <w:szCs w:val="22"/>
        </w:rPr>
        <w:t xml:space="preserve">уџетску линију за омладинске центре </w:t>
      </w:r>
      <w:r w:rsidRPr="003E5F78">
        <w:rPr>
          <w:rFonts w:asciiTheme="majorHAnsi" w:hAnsiTheme="majorHAnsi"/>
          <w:b/>
          <w:bCs/>
          <w:sz w:val="22"/>
          <w:szCs w:val="22"/>
          <w:lang w:val="sr-Cyrl-BA"/>
        </w:rPr>
        <w:t>већ за 2026</w:t>
      </w:r>
      <w:r w:rsidRPr="003E5F78">
        <w:rPr>
          <w:rFonts w:asciiTheme="majorHAnsi" w:hAnsiTheme="majorHAnsi"/>
          <w:sz w:val="22"/>
          <w:szCs w:val="22"/>
          <w:lang w:val="sr-Cyrl-BA"/>
        </w:rPr>
        <w:t xml:space="preserve">. годину </w:t>
      </w:r>
      <w:r w:rsidRPr="003E5F78">
        <w:rPr>
          <w:rFonts w:asciiTheme="majorHAnsi" w:hAnsiTheme="majorHAnsi"/>
          <w:sz w:val="22"/>
          <w:szCs w:val="22"/>
        </w:rPr>
        <w:t>у Министарству породице, омладине и спорта</w:t>
      </w:r>
      <w:r w:rsidRPr="003E5F78">
        <w:rPr>
          <w:rFonts w:asciiTheme="majorHAnsi" w:hAnsiTheme="majorHAnsi"/>
          <w:sz w:val="22"/>
          <w:szCs w:val="22"/>
          <w:lang w:val="sr-Cyrl-BA"/>
        </w:rPr>
        <w:t xml:space="preserve"> Републике Српске</w:t>
      </w:r>
      <w:r w:rsidRPr="003E5F78">
        <w:rPr>
          <w:rFonts w:asciiTheme="majorHAnsi" w:hAnsiTheme="majorHAnsi"/>
          <w:sz w:val="22"/>
          <w:szCs w:val="22"/>
        </w:rPr>
        <w:t>, која ће бити предвидива и искључиво намјењена омладинским центрима, одвојено од буџета за омладинске организације и друге организације за младе. Ово је основ за стабилан рад, одржавање тимова и континуитет програма.</w:t>
      </w:r>
      <w:r w:rsidRPr="003E5F78">
        <w:rPr>
          <w:rFonts w:asciiTheme="majorHAnsi" w:hAnsiTheme="majorHAnsi"/>
          <w:sz w:val="22"/>
          <w:szCs w:val="22"/>
          <w:lang w:val="sr-Cyrl-BA"/>
        </w:rPr>
        <w:t xml:space="preserve"> </w:t>
      </w:r>
    </w:p>
    <w:p w14:paraId="42005BC5" w14:textId="7FD3F80A" w:rsidR="004060D1" w:rsidRPr="003E5F78" w:rsidRDefault="008A72E6" w:rsidP="00D25D2B">
      <w:pPr>
        <w:pStyle w:val="BodyText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3E5F78">
        <w:rPr>
          <w:rFonts w:asciiTheme="majorHAnsi" w:hAnsiTheme="majorHAnsi"/>
          <w:b/>
          <w:sz w:val="22"/>
          <w:szCs w:val="22"/>
        </w:rPr>
        <w:t xml:space="preserve">Обезбједити дугорочно, вишегодишње финансирање омладинских центара, кроз уговоре који трају више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>година (најмање 2 године),</w:t>
      </w:r>
      <w:r w:rsidRPr="003E5F78">
        <w:rPr>
          <w:rFonts w:asciiTheme="majorHAnsi" w:hAnsiTheme="majorHAnsi"/>
          <w:sz w:val="22"/>
          <w:szCs w:val="22"/>
        </w:rPr>
        <w:t xml:space="preserve"> како би центри могли да планирају развој програма, одржавање тимова и инвестирање у инфраструктуру, без сталне зависности од краткорочних пројектних средстава.</w:t>
      </w:r>
    </w:p>
    <w:p w14:paraId="22CD6BA3" w14:textId="7A49790E" w:rsidR="004060D1" w:rsidRPr="003E5F78" w:rsidRDefault="008A72E6" w:rsidP="00D25D2B">
      <w:pPr>
        <w:pStyle w:val="BodyText"/>
        <w:numPr>
          <w:ilvl w:val="0"/>
          <w:numId w:val="9"/>
        </w:numPr>
        <w:rPr>
          <w:rFonts w:asciiTheme="majorHAnsi" w:hAnsiTheme="majorHAnsi"/>
          <w:sz w:val="22"/>
          <w:szCs w:val="22"/>
        </w:rPr>
      </w:pPr>
      <w:r w:rsidRPr="003E5F78">
        <w:rPr>
          <w:rFonts w:asciiTheme="majorHAnsi" w:hAnsiTheme="majorHAnsi"/>
          <w:b/>
          <w:sz w:val="22"/>
          <w:szCs w:val="22"/>
        </w:rPr>
        <w:t>Институционално укључити омладинске центре у креирање и праћење омладинских политика,</w:t>
      </w:r>
      <w:r w:rsidRPr="003E5F78">
        <w:rPr>
          <w:rFonts w:asciiTheme="majorHAnsi" w:hAnsiTheme="majorHAnsi"/>
          <w:sz w:val="22"/>
          <w:szCs w:val="22"/>
        </w:rPr>
        <w:t xml:space="preserve"> </w:t>
      </w:r>
      <w:r w:rsidRPr="003E5F78">
        <w:rPr>
          <w:rFonts w:asciiTheme="majorHAnsi" w:hAnsiTheme="majorHAnsi"/>
          <w:sz w:val="22"/>
          <w:szCs w:val="22"/>
          <w:lang w:val="sr-Cyrl-BA"/>
        </w:rPr>
        <w:t>како би се обезбиједило</w:t>
      </w:r>
      <w:r w:rsidRPr="003E5F78">
        <w:rPr>
          <w:rFonts w:asciiTheme="majorHAnsi" w:hAnsiTheme="majorHAnsi"/>
          <w:sz w:val="22"/>
          <w:szCs w:val="22"/>
        </w:rPr>
        <w:t xml:space="preserve"> њихово активно учешће у одлучивању и доношењу одлука које се тичу младих, како би се програмски и стратешки одговорило на потребе заједнице.</w:t>
      </w:r>
    </w:p>
    <w:p w14:paraId="3DA7023D" w14:textId="61619864" w:rsidR="004060D1" w:rsidRPr="00A04D32" w:rsidRDefault="008A72E6" w:rsidP="00F9549F">
      <w:pPr>
        <w:pStyle w:val="BodyText"/>
        <w:numPr>
          <w:ilvl w:val="0"/>
          <w:numId w:val="9"/>
        </w:numPr>
        <w:rPr>
          <w:rFonts w:asciiTheme="majorHAnsi" w:hAnsiTheme="majorHAnsi"/>
          <w:bCs/>
          <w:sz w:val="22"/>
          <w:szCs w:val="22"/>
        </w:rPr>
      </w:pPr>
      <w:r w:rsidRPr="003E5F78">
        <w:rPr>
          <w:rFonts w:asciiTheme="majorHAnsi" w:hAnsiTheme="majorHAnsi"/>
          <w:b/>
          <w:sz w:val="22"/>
          <w:szCs w:val="22"/>
        </w:rPr>
        <w:t>Подржати М.О.Ц.А.Р.Т. Републике Српске – Мреж</w:t>
      </w:r>
      <w:r w:rsidRPr="003E5F78">
        <w:rPr>
          <w:rFonts w:asciiTheme="majorHAnsi" w:hAnsiTheme="majorHAnsi"/>
          <w:b/>
          <w:sz w:val="22"/>
          <w:szCs w:val="22"/>
          <w:lang w:val="sr-Cyrl-BA"/>
        </w:rPr>
        <w:t>у</w:t>
      </w:r>
      <w:r w:rsidRPr="003E5F78">
        <w:rPr>
          <w:rFonts w:asciiTheme="majorHAnsi" w:hAnsiTheme="majorHAnsi"/>
          <w:b/>
          <w:sz w:val="22"/>
          <w:szCs w:val="22"/>
        </w:rPr>
        <w:t xml:space="preserve"> Омладинских Центара за Анимацију, Развој и Тренинг</w:t>
      </w:r>
      <w:r w:rsidRPr="003E5F78">
        <w:rPr>
          <w:rFonts w:asciiTheme="majorHAnsi" w:hAnsiTheme="majorHAnsi"/>
          <w:bCs/>
          <w:sz w:val="22"/>
          <w:szCs w:val="22"/>
        </w:rPr>
        <w:t xml:space="preserve"> као </w:t>
      </w:r>
      <w:r w:rsidRPr="003E5F78">
        <w:rPr>
          <w:rFonts w:asciiTheme="majorHAnsi" w:hAnsiTheme="majorHAnsi"/>
          <w:bCs/>
          <w:sz w:val="22"/>
          <w:szCs w:val="22"/>
          <w:lang w:val="sr-Cyrl-BA"/>
        </w:rPr>
        <w:t>алата</w:t>
      </w:r>
      <w:r w:rsidRPr="003E5F78">
        <w:rPr>
          <w:rFonts w:asciiTheme="majorHAnsi" w:hAnsiTheme="majorHAnsi"/>
          <w:bCs/>
          <w:sz w:val="22"/>
          <w:szCs w:val="22"/>
        </w:rPr>
        <w:t xml:space="preserve"> за координацију, размjену знања и осигурање квалитета рада у свим центарима Републике Српске.</w:t>
      </w:r>
    </w:p>
    <w:p w14:paraId="1254D2AF" w14:textId="5B2348BB" w:rsidR="00A04D32" w:rsidRPr="00F9549F" w:rsidRDefault="00A04D32" w:rsidP="00F9549F">
      <w:pPr>
        <w:pStyle w:val="BodyText"/>
        <w:numPr>
          <w:ilvl w:val="0"/>
          <w:numId w:val="9"/>
        </w:numPr>
        <w:rPr>
          <w:rFonts w:asciiTheme="majorHAnsi" w:hAnsiTheme="majorHAnsi"/>
          <w:bCs/>
          <w:sz w:val="22"/>
          <w:szCs w:val="22"/>
        </w:rPr>
      </w:pPr>
      <w:r w:rsidRPr="003E5F78">
        <w:rPr>
          <w:rFonts w:asciiTheme="majorHAnsi" w:hAnsiTheme="majorHAnsi"/>
          <w:b/>
          <w:bCs/>
          <w:sz w:val="22"/>
          <w:szCs w:val="22"/>
          <w:lang w:val="sr-Latn-BA" w:eastAsia="sr-Latn-BA"/>
        </w:rPr>
        <w:t xml:space="preserve">Закон о омладинском организовању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>треба ревидирати како би се јасније дефини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сала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одговорност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 xml:space="preserve"> ентитета и јединица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локалних самоуправ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а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да финансирају центре - са конкретним минимумима, не само „требали би". Закон би требало да има јасан одјељак о улози МOЦАРТ мреже у координацији. Требали би бити установљени минимални стандарди које све центре би требале задовољити: колика инфраструктура, колико 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запослених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омладинских радника, какви програми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 xml:space="preserve">.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Битно је да се предвиди 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трајно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финансирање из ентитетског буџета за националну координацију и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lastRenderedPageBreak/>
        <w:t>стандардизацију, не само за локалне центре. Већина европских земаља има специфичан закон или уредбу о финансирању омладинских центара - Република Српска би требала да крене у том смјеру.</w:t>
      </w:r>
    </w:p>
    <w:p w14:paraId="78202F6F" w14:textId="1223B5F5" w:rsidR="00F9549F" w:rsidRPr="003E5F78" w:rsidRDefault="00F9549F" w:rsidP="00F9549F">
      <w:pPr>
        <w:pStyle w:val="BodyText"/>
        <w:numPr>
          <w:ilvl w:val="0"/>
          <w:numId w:val="5"/>
        </w:num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  <w:lang w:val="sr-Cyrl-BA"/>
        </w:rPr>
        <w:t xml:space="preserve">Министарство управе и локалне самоуправе </w:t>
      </w:r>
      <w:r w:rsidR="00F05F61">
        <w:rPr>
          <w:rFonts w:asciiTheme="majorHAnsi" w:hAnsiTheme="majorHAnsi"/>
          <w:b/>
          <w:sz w:val="22"/>
          <w:szCs w:val="22"/>
          <w:lang w:val="sr-Cyrl-BA"/>
        </w:rPr>
        <w:t xml:space="preserve">и јединице локалне самоуправе у Републици Српској </w:t>
      </w:r>
    </w:p>
    <w:p w14:paraId="4B0DB693" w14:textId="32D24A34" w:rsidR="004060D1" w:rsidRPr="003E5F78" w:rsidRDefault="008A72E6" w:rsidP="00F9549F">
      <w:pPr>
        <w:pStyle w:val="BodyText"/>
        <w:numPr>
          <w:ilvl w:val="0"/>
          <w:numId w:val="9"/>
        </w:numPr>
        <w:rPr>
          <w:rFonts w:asciiTheme="majorHAnsi" w:hAnsiTheme="majorHAnsi"/>
          <w:bCs/>
          <w:sz w:val="22"/>
          <w:szCs w:val="22"/>
        </w:rPr>
      </w:pPr>
      <w:proofErr w:type="gramStart"/>
      <w:r w:rsidRPr="003E5F78">
        <w:rPr>
          <w:rFonts w:asciiTheme="majorHAnsi" w:hAnsiTheme="majorHAnsi"/>
          <w:b/>
          <w:sz w:val="22"/>
          <w:szCs w:val="22"/>
        </w:rPr>
        <w:t>У</w:t>
      </w:r>
      <w:r w:rsidRPr="003E5F78">
        <w:rPr>
          <w:rFonts w:asciiTheme="majorHAnsi" w:hAnsiTheme="majorHAnsi"/>
          <w:b/>
          <w:sz w:val="22"/>
          <w:szCs w:val="22"/>
          <w:lang w:val="sr-Cyrl-BA"/>
        </w:rPr>
        <w:t xml:space="preserve">споставити </w:t>
      </w:r>
      <w:r w:rsidRPr="003E5F78">
        <w:rPr>
          <w:rFonts w:asciiTheme="majorHAnsi" w:hAnsiTheme="majorHAnsi"/>
          <w:b/>
          <w:sz w:val="22"/>
          <w:szCs w:val="22"/>
        </w:rPr>
        <w:t xml:space="preserve"> обавез</w:t>
      </w:r>
      <w:r w:rsidRPr="003E5F78">
        <w:rPr>
          <w:rFonts w:asciiTheme="majorHAnsi" w:hAnsiTheme="majorHAnsi"/>
          <w:b/>
          <w:sz w:val="22"/>
          <w:szCs w:val="22"/>
          <w:lang w:val="sr-Cyrl-BA"/>
        </w:rPr>
        <w:t>ну</w:t>
      </w:r>
      <w:proofErr w:type="gramEnd"/>
      <w:r w:rsidRPr="003E5F78">
        <w:rPr>
          <w:rFonts w:asciiTheme="majorHAnsi" w:hAnsiTheme="majorHAnsi"/>
          <w:b/>
          <w:sz w:val="22"/>
          <w:szCs w:val="22"/>
        </w:rPr>
        <w:t xml:space="preserve"> системск</w:t>
      </w:r>
      <w:r w:rsidRPr="003E5F78">
        <w:rPr>
          <w:rFonts w:asciiTheme="majorHAnsi" w:hAnsiTheme="majorHAnsi"/>
          <w:b/>
          <w:sz w:val="22"/>
          <w:szCs w:val="22"/>
          <w:lang w:val="sr-Cyrl-BA"/>
        </w:rPr>
        <w:t>у</w:t>
      </w:r>
      <w:r w:rsidRPr="003E5F78">
        <w:rPr>
          <w:rFonts w:asciiTheme="majorHAnsi" w:hAnsiTheme="majorHAnsi"/>
          <w:b/>
          <w:sz w:val="22"/>
          <w:szCs w:val="22"/>
        </w:rPr>
        <w:t xml:space="preserve"> подршк</w:t>
      </w:r>
      <w:r w:rsidRPr="003E5F78">
        <w:rPr>
          <w:rFonts w:asciiTheme="majorHAnsi" w:hAnsiTheme="majorHAnsi"/>
          <w:b/>
          <w:sz w:val="22"/>
          <w:szCs w:val="22"/>
          <w:lang w:val="sr-Cyrl-BA"/>
        </w:rPr>
        <w:t>у</w:t>
      </w:r>
      <w:r w:rsidRPr="003E5F78">
        <w:rPr>
          <w:rFonts w:asciiTheme="majorHAnsi" w:hAnsiTheme="majorHAnsi"/>
          <w:b/>
          <w:sz w:val="22"/>
          <w:szCs w:val="22"/>
        </w:rPr>
        <w:t xml:space="preserve"> омладинским центрима од стране јединица локалне самоуправе</w:t>
      </w:r>
      <w:r w:rsidRPr="003E5F78">
        <w:rPr>
          <w:rFonts w:asciiTheme="majorHAnsi" w:hAnsiTheme="majorHAnsi"/>
          <w:bCs/>
          <w:sz w:val="22"/>
          <w:szCs w:val="22"/>
          <w:lang w:val="sr-Cyrl-BA"/>
        </w:rPr>
        <w:t xml:space="preserve">. </w:t>
      </w:r>
      <w:r w:rsidRPr="003E5F78">
        <w:rPr>
          <w:rFonts w:asciiTheme="majorHAnsi" w:hAnsiTheme="majorHAnsi"/>
          <w:bCs/>
          <w:sz w:val="22"/>
          <w:szCs w:val="22"/>
        </w:rPr>
        <w:t>С обзиром на то да омладински центри представљају кључне јавне ресурсе за развој младих, неформално образовање, активизам и укљученост у локалну заједницу, а такође обезбјеђују и стабилна радна мјеста и доприносе локалном буџету, препоручује се да јединице локалне самоуправе системски подржавају њихов рад.</w:t>
      </w:r>
      <w:r w:rsidRPr="003E5F78">
        <w:rPr>
          <w:rFonts w:asciiTheme="majorHAnsi" w:hAnsiTheme="majorHAnsi"/>
          <w:bCs/>
          <w:sz w:val="22"/>
          <w:szCs w:val="22"/>
          <w:lang w:val="sr-Cyrl-BA"/>
        </w:rPr>
        <w:t xml:space="preserve"> Препоручује се да </w:t>
      </w:r>
      <w:r w:rsidRPr="003E5F78">
        <w:rPr>
          <w:rFonts w:asciiTheme="majorHAnsi" w:hAnsiTheme="majorHAnsi"/>
          <w:bCs/>
          <w:sz w:val="22"/>
          <w:szCs w:val="22"/>
        </w:rPr>
        <w:t>Министарство управе и локалне самоуправе</w:t>
      </w:r>
      <w:r w:rsidRPr="003E5F78">
        <w:rPr>
          <w:rFonts w:asciiTheme="majorHAnsi" w:hAnsiTheme="majorHAnsi"/>
          <w:bCs/>
          <w:sz w:val="22"/>
          <w:szCs w:val="22"/>
          <w:lang w:val="sr-Cyrl-BA"/>
        </w:rPr>
        <w:t xml:space="preserve">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>утврди обавезу</w:t>
      </w:r>
      <w:r w:rsidRPr="003E5F78">
        <w:rPr>
          <w:rFonts w:asciiTheme="majorHAnsi" w:hAnsiTheme="majorHAnsi"/>
          <w:bCs/>
          <w:sz w:val="22"/>
          <w:szCs w:val="22"/>
          <w:lang w:val="sr-Cyrl-BA"/>
        </w:rPr>
        <w:t xml:space="preserve"> </w:t>
      </w:r>
      <w:r w:rsidRPr="003E5F78">
        <w:rPr>
          <w:rFonts w:asciiTheme="majorHAnsi" w:hAnsiTheme="majorHAnsi"/>
          <w:bCs/>
          <w:sz w:val="22"/>
          <w:szCs w:val="22"/>
        </w:rPr>
        <w:t xml:space="preserve"> локалн</w:t>
      </w:r>
      <w:r w:rsidRPr="003E5F78">
        <w:rPr>
          <w:rFonts w:asciiTheme="majorHAnsi" w:hAnsiTheme="majorHAnsi"/>
          <w:bCs/>
          <w:sz w:val="22"/>
          <w:szCs w:val="22"/>
          <w:lang w:val="sr-Cyrl-BA"/>
        </w:rPr>
        <w:t>их</w:t>
      </w:r>
      <w:r w:rsidRPr="003E5F78">
        <w:rPr>
          <w:rFonts w:asciiTheme="majorHAnsi" w:hAnsiTheme="majorHAnsi"/>
          <w:bCs/>
          <w:sz w:val="22"/>
          <w:szCs w:val="22"/>
        </w:rPr>
        <w:t xml:space="preserve"> заједниц</w:t>
      </w:r>
      <w:r w:rsidRPr="003E5F78">
        <w:rPr>
          <w:rFonts w:asciiTheme="majorHAnsi" w:hAnsiTheme="majorHAnsi"/>
          <w:bCs/>
          <w:sz w:val="22"/>
          <w:szCs w:val="22"/>
          <w:lang w:val="sr-Cyrl-BA"/>
        </w:rPr>
        <w:t>а</w:t>
      </w:r>
      <w:r w:rsidRPr="003E5F78">
        <w:rPr>
          <w:rFonts w:asciiTheme="majorHAnsi" w:hAnsiTheme="majorHAnsi"/>
          <w:bCs/>
          <w:sz w:val="22"/>
          <w:szCs w:val="22"/>
        </w:rPr>
        <w:t xml:space="preserve"> да:</w:t>
      </w:r>
    </w:p>
    <w:p w14:paraId="68220C20" w14:textId="77777777" w:rsidR="004060D1" w:rsidRPr="003E5F78" w:rsidRDefault="008A72E6" w:rsidP="003E5F78">
      <w:pPr>
        <w:pStyle w:val="BodyText"/>
        <w:numPr>
          <w:ilvl w:val="0"/>
          <w:numId w:val="6"/>
        </w:numPr>
        <w:rPr>
          <w:rFonts w:asciiTheme="majorHAnsi" w:hAnsiTheme="majorHAnsi"/>
          <w:bCs/>
          <w:sz w:val="22"/>
          <w:szCs w:val="22"/>
        </w:rPr>
      </w:pPr>
      <w:r w:rsidRPr="003E5F78">
        <w:rPr>
          <w:rFonts w:asciiTheme="majorHAnsi" w:hAnsiTheme="majorHAnsi"/>
          <w:bCs/>
          <w:sz w:val="22"/>
          <w:szCs w:val="22"/>
        </w:rPr>
        <w:t>Финансијски подрже најмање један омладински центар на својој територији;</w:t>
      </w:r>
    </w:p>
    <w:p w14:paraId="7D3828F3" w14:textId="77777777" w:rsidR="004060D1" w:rsidRPr="003E5F78" w:rsidRDefault="008A72E6" w:rsidP="003E5F78">
      <w:pPr>
        <w:pStyle w:val="BodyText"/>
        <w:numPr>
          <w:ilvl w:val="0"/>
          <w:numId w:val="6"/>
        </w:numPr>
        <w:rPr>
          <w:rFonts w:asciiTheme="majorHAnsi" w:hAnsiTheme="majorHAnsi"/>
          <w:bCs/>
          <w:sz w:val="22"/>
          <w:szCs w:val="22"/>
        </w:rPr>
      </w:pPr>
      <w:r w:rsidRPr="003E5F78">
        <w:rPr>
          <w:rFonts w:asciiTheme="majorHAnsi" w:hAnsiTheme="majorHAnsi"/>
          <w:bCs/>
          <w:sz w:val="22"/>
          <w:szCs w:val="22"/>
        </w:rPr>
        <w:t>Обезбиједе адекватан простор за рад центра или суфинансирање закупа;</w:t>
      </w:r>
    </w:p>
    <w:p w14:paraId="6E87DFBF" w14:textId="77777777" w:rsidR="004060D1" w:rsidRPr="003E5F78" w:rsidRDefault="008A72E6" w:rsidP="003E5F78">
      <w:pPr>
        <w:pStyle w:val="BodyText"/>
        <w:numPr>
          <w:ilvl w:val="0"/>
          <w:numId w:val="6"/>
        </w:numPr>
        <w:rPr>
          <w:rFonts w:asciiTheme="majorHAnsi" w:hAnsiTheme="majorHAnsi"/>
          <w:bCs/>
          <w:sz w:val="22"/>
          <w:szCs w:val="22"/>
        </w:rPr>
      </w:pPr>
      <w:r w:rsidRPr="003E5F78">
        <w:rPr>
          <w:rFonts w:asciiTheme="majorHAnsi" w:hAnsiTheme="majorHAnsi"/>
          <w:bCs/>
          <w:sz w:val="22"/>
          <w:szCs w:val="22"/>
        </w:rPr>
        <w:t>Укључе омладинске центре у локалне стратегије и планове за младе;</w:t>
      </w:r>
    </w:p>
    <w:p w14:paraId="6D9F8AC2" w14:textId="77777777" w:rsidR="004060D1" w:rsidRPr="003E5F78" w:rsidRDefault="008A72E6" w:rsidP="003E5F78">
      <w:pPr>
        <w:pStyle w:val="BodyText"/>
        <w:numPr>
          <w:ilvl w:val="0"/>
          <w:numId w:val="6"/>
        </w:numPr>
        <w:rPr>
          <w:rFonts w:asciiTheme="majorHAnsi" w:hAnsiTheme="majorHAnsi"/>
          <w:bCs/>
          <w:sz w:val="22"/>
          <w:szCs w:val="22"/>
        </w:rPr>
      </w:pPr>
      <w:r w:rsidRPr="003E5F78">
        <w:rPr>
          <w:rFonts w:asciiTheme="majorHAnsi" w:hAnsiTheme="majorHAnsi"/>
          <w:bCs/>
          <w:sz w:val="22"/>
          <w:szCs w:val="22"/>
        </w:rPr>
        <w:t>Годишње извјештавају о подршци омладинским центрима као дио редовног извјештаја о стању у јединици локалне самоуправе.</w:t>
      </w:r>
      <w:r w:rsidRPr="003E5F78">
        <w:rPr>
          <w:rFonts w:asciiTheme="majorHAnsi" w:hAnsiTheme="majorHAnsi"/>
          <w:bCs/>
          <w:sz w:val="22"/>
          <w:szCs w:val="22"/>
          <w:lang w:val="sr-Cyrl-BA"/>
        </w:rPr>
        <w:t xml:space="preserve"> </w:t>
      </w:r>
    </w:p>
    <w:p w14:paraId="1C9B35BB" w14:textId="77777777" w:rsidR="004060D1" w:rsidRPr="003E5F78" w:rsidRDefault="004060D1" w:rsidP="003E5F78">
      <w:pPr>
        <w:pStyle w:val="BodyText"/>
        <w:rPr>
          <w:rFonts w:asciiTheme="majorHAnsi" w:hAnsiTheme="majorHAnsi"/>
          <w:bCs/>
          <w:sz w:val="22"/>
          <w:szCs w:val="22"/>
          <w:lang w:val="sr-Cyrl-BA"/>
        </w:rPr>
      </w:pPr>
    </w:p>
    <w:p w14:paraId="09690727" w14:textId="77777777" w:rsidR="004060D1" w:rsidRDefault="008A72E6" w:rsidP="003E5F78">
      <w:pPr>
        <w:pStyle w:val="BodyText"/>
        <w:rPr>
          <w:rFonts w:asciiTheme="majorHAnsi" w:hAnsiTheme="majorHAnsi"/>
          <w:bCs/>
          <w:sz w:val="22"/>
          <w:szCs w:val="22"/>
          <w:lang w:val="sr-Cyrl-BA"/>
        </w:rPr>
      </w:pPr>
      <w:proofErr w:type="gramStart"/>
      <w:r w:rsidRPr="003E5F78">
        <w:rPr>
          <w:rFonts w:asciiTheme="majorHAnsi" w:hAnsiTheme="majorHAnsi"/>
          <w:bCs/>
          <w:sz w:val="22"/>
          <w:szCs w:val="22"/>
        </w:rPr>
        <w:t>Ова мјера ствара равномјерне услове у свим општинама и градовима и спречава ситуацију у којој опстанак омладинског центра зависи од политичке воље актуелне администрације.</w:t>
      </w:r>
      <w:proofErr w:type="gramEnd"/>
      <w:r w:rsidRPr="003E5F78">
        <w:rPr>
          <w:rFonts w:asciiTheme="majorHAnsi" w:hAnsiTheme="majorHAnsi"/>
          <w:bCs/>
          <w:sz w:val="22"/>
          <w:szCs w:val="22"/>
        </w:rPr>
        <w:t xml:space="preserve"> </w:t>
      </w:r>
      <w:proofErr w:type="gramStart"/>
      <w:r w:rsidRPr="003E5F78">
        <w:rPr>
          <w:rFonts w:asciiTheme="majorHAnsi" w:hAnsiTheme="majorHAnsi"/>
          <w:bCs/>
          <w:sz w:val="22"/>
          <w:szCs w:val="22"/>
        </w:rPr>
        <w:t>На тај начин се јасно дефинише јавни интерес и обезбјеђује континуирана подршка младима и развој социјалне и културне инфраструктуре.</w:t>
      </w:r>
      <w:proofErr w:type="gramEnd"/>
    </w:p>
    <w:p w14:paraId="17954D61" w14:textId="77777777" w:rsidR="0022306A" w:rsidRPr="0022306A" w:rsidRDefault="0022306A" w:rsidP="003E5F78">
      <w:pPr>
        <w:pStyle w:val="BodyText"/>
        <w:rPr>
          <w:rFonts w:asciiTheme="majorHAnsi" w:hAnsiTheme="majorHAnsi"/>
          <w:bCs/>
          <w:sz w:val="22"/>
          <w:szCs w:val="22"/>
          <w:lang w:val="sr-Cyrl-BA"/>
        </w:rPr>
      </w:pPr>
    </w:p>
    <w:p w14:paraId="0A4DDEE3" w14:textId="23CEC1CB" w:rsidR="0022306A" w:rsidRDefault="0022306A" w:rsidP="0022306A">
      <w:pPr>
        <w:pStyle w:val="BodyText"/>
        <w:numPr>
          <w:ilvl w:val="0"/>
          <w:numId w:val="5"/>
        </w:numPr>
        <w:rPr>
          <w:rFonts w:asciiTheme="majorHAnsi" w:hAnsiTheme="majorHAnsi"/>
          <w:b/>
          <w:sz w:val="22"/>
          <w:szCs w:val="22"/>
          <w:lang w:val="sr-Cyrl-BA"/>
        </w:rPr>
      </w:pPr>
      <w:r w:rsidRPr="0022306A">
        <w:rPr>
          <w:rFonts w:asciiTheme="majorHAnsi" w:hAnsiTheme="majorHAnsi"/>
          <w:b/>
          <w:sz w:val="22"/>
          <w:szCs w:val="22"/>
          <w:lang w:val="sr-Cyrl-BA"/>
        </w:rPr>
        <w:t>Министарство за европске интеграције и међународну сарадњу Републике Српске</w:t>
      </w:r>
    </w:p>
    <w:p w14:paraId="56C86708" w14:textId="1BB194B1" w:rsidR="0022306A" w:rsidRPr="0022306A" w:rsidRDefault="0022306A" w:rsidP="0022306A">
      <w:pPr>
        <w:pStyle w:val="BodyText"/>
        <w:numPr>
          <w:ilvl w:val="0"/>
          <w:numId w:val="9"/>
        </w:numPr>
        <w:rPr>
          <w:rFonts w:asciiTheme="majorHAnsi" w:hAnsiTheme="majorHAnsi"/>
          <w:bCs/>
          <w:sz w:val="22"/>
          <w:szCs w:val="22"/>
        </w:rPr>
      </w:pPr>
      <w:r w:rsidRPr="0022306A">
        <w:rPr>
          <w:rFonts w:asciiTheme="majorHAnsi" w:hAnsiTheme="majorHAnsi"/>
          <w:bCs/>
          <w:sz w:val="22"/>
          <w:szCs w:val="22"/>
        </w:rPr>
        <w:t xml:space="preserve">Успоставити </w:t>
      </w:r>
      <w:r w:rsidRPr="0022306A">
        <w:rPr>
          <w:rFonts w:asciiTheme="majorHAnsi" w:hAnsiTheme="majorHAnsi"/>
          <w:b/>
          <w:sz w:val="22"/>
          <w:szCs w:val="22"/>
        </w:rPr>
        <w:t>фонд за суфинансирање пројеката омладинских центара који се реализују у оквиру програма Европске уније</w:t>
      </w:r>
      <w:r w:rsidRPr="0022306A">
        <w:rPr>
          <w:rFonts w:asciiTheme="majorHAnsi" w:hAnsiTheme="majorHAnsi"/>
          <w:bCs/>
          <w:sz w:val="22"/>
          <w:szCs w:val="22"/>
        </w:rPr>
        <w:t>, као што су IPA фондови, Erasmus+ и други релевантни инструменти.</w:t>
      </w:r>
    </w:p>
    <w:p w14:paraId="7B7D78EE" w14:textId="77777777" w:rsidR="0022306A" w:rsidRPr="0022306A" w:rsidRDefault="0022306A" w:rsidP="0022306A">
      <w:pPr>
        <w:pStyle w:val="BodyText"/>
        <w:ind w:left="720"/>
        <w:rPr>
          <w:rFonts w:asciiTheme="majorHAnsi" w:hAnsiTheme="majorHAnsi"/>
          <w:bCs/>
          <w:sz w:val="22"/>
          <w:szCs w:val="22"/>
        </w:rPr>
      </w:pPr>
    </w:p>
    <w:p w14:paraId="37494909" w14:textId="77777777" w:rsidR="0022306A" w:rsidRPr="0022306A" w:rsidRDefault="0022306A" w:rsidP="0022306A">
      <w:pPr>
        <w:pStyle w:val="BodyText"/>
        <w:rPr>
          <w:rFonts w:asciiTheme="majorHAnsi" w:hAnsiTheme="majorHAnsi"/>
          <w:bCs/>
          <w:sz w:val="22"/>
          <w:szCs w:val="22"/>
        </w:rPr>
      </w:pPr>
      <w:proofErr w:type="gramStart"/>
      <w:r w:rsidRPr="0022306A">
        <w:rPr>
          <w:rFonts w:asciiTheme="majorHAnsi" w:hAnsiTheme="majorHAnsi"/>
          <w:bCs/>
          <w:sz w:val="22"/>
          <w:szCs w:val="22"/>
        </w:rPr>
        <w:t>Суфинансирање представља један од највећих изазова за организације које раде са младима, што често онемогућава њихово учешће на конкурсима ЕУ.</w:t>
      </w:r>
      <w:proofErr w:type="gramEnd"/>
      <w:r w:rsidRPr="0022306A">
        <w:rPr>
          <w:rFonts w:asciiTheme="majorHAnsi" w:hAnsiTheme="majorHAnsi"/>
          <w:bCs/>
          <w:sz w:val="22"/>
          <w:szCs w:val="22"/>
        </w:rPr>
        <w:t xml:space="preserve"> </w:t>
      </w:r>
      <w:proofErr w:type="gramStart"/>
      <w:r w:rsidRPr="0022306A">
        <w:rPr>
          <w:rFonts w:asciiTheme="majorHAnsi" w:hAnsiTheme="majorHAnsi"/>
          <w:bCs/>
          <w:sz w:val="22"/>
          <w:szCs w:val="22"/>
        </w:rPr>
        <w:t>Успостављање овог фонда омогућило би омладинским центрима да конкуришу за дугорочна финансијска средства, повећају капацитете, развију инфраструктуру и реализују пројекте који одговарају на приоритете ЕУ и Републике Српске у области развоја младих.</w:t>
      </w:r>
      <w:proofErr w:type="gramEnd"/>
    </w:p>
    <w:p w14:paraId="1183AB39" w14:textId="77777777" w:rsidR="0022306A" w:rsidRPr="0022306A" w:rsidRDefault="0022306A" w:rsidP="0022306A">
      <w:pPr>
        <w:pStyle w:val="BodyText"/>
        <w:rPr>
          <w:rFonts w:asciiTheme="majorHAnsi" w:hAnsiTheme="majorHAnsi"/>
          <w:bCs/>
          <w:sz w:val="22"/>
          <w:szCs w:val="22"/>
        </w:rPr>
      </w:pPr>
      <w:proofErr w:type="gramStart"/>
      <w:r w:rsidRPr="0022306A">
        <w:rPr>
          <w:rFonts w:asciiTheme="majorHAnsi" w:hAnsiTheme="majorHAnsi"/>
          <w:bCs/>
          <w:sz w:val="22"/>
          <w:szCs w:val="22"/>
        </w:rPr>
        <w:t>Ова мјера би подстакла веће учешће омладинских центара у ЕУ програмима, допринијела јачању кадровских и програмских капацитета, те осигурала додатне изворе дугорочног финансирања, нарочито у контексту европских интеграција.</w:t>
      </w:r>
      <w:proofErr w:type="gramEnd"/>
    </w:p>
    <w:p w14:paraId="00703341" w14:textId="77777777" w:rsidR="00F91569" w:rsidRPr="00F91569" w:rsidRDefault="00F91569" w:rsidP="003E5F78">
      <w:pPr>
        <w:pStyle w:val="BodyText"/>
        <w:rPr>
          <w:rFonts w:asciiTheme="majorHAnsi" w:hAnsiTheme="majorHAnsi"/>
          <w:bCs/>
          <w:sz w:val="22"/>
          <w:szCs w:val="22"/>
          <w:lang w:val="sr-Cyrl-BA"/>
        </w:rPr>
      </w:pPr>
    </w:p>
    <w:p w14:paraId="7F082482" w14:textId="0528B481" w:rsidR="00F05F61" w:rsidRPr="00A04D32" w:rsidRDefault="00A04D32" w:rsidP="00A04D32">
      <w:pPr>
        <w:pStyle w:val="BodyText"/>
        <w:numPr>
          <w:ilvl w:val="0"/>
          <w:numId w:val="5"/>
        </w:numPr>
        <w:rPr>
          <w:rFonts w:asciiTheme="majorHAnsi" w:hAnsiTheme="majorHAnsi"/>
          <w:b/>
          <w:bCs/>
          <w:sz w:val="22"/>
          <w:szCs w:val="22"/>
          <w:lang w:val="sr-Cyrl-BA"/>
        </w:rPr>
      </w:pPr>
      <w:r w:rsidRPr="00A04D32">
        <w:rPr>
          <w:rFonts w:asciiTheme="majorHAnsi" w:hAnsiTheme="majorHAnsi"/>
          <w:b/>
          <w:bCs/>
          <w:sz w:val="22"/>
          <w:szCs w:val="22"/>
          <w:lang w:val="sr-Cyrl-BA"/>
        </w:rPr>
        <w:t xml:space="preserve">Јединице локалне самоуправе у Републици Српској </w:t>
      </w:r>
    </w:p>
    <w:p w14:paraId="5639FFBA" w14:textId="1BEBA11C" w:rsidR="004060D1" w:rsidRPr="0022306A" w:rsidRDefault="008A72E6" w:rsidP="00A04D32">
      <w:pPr>
        <w:pStyle w:val="BodyText"/>
        <w:numPr>
          <w:ilvl w:val="0"/>
          <w:numId w:val="9"/>
        </w:numPr>
        <w:rPr>
          <w:rFonts w:asciiTheme="majorHAnsi" w:hAnsiTheme="majorHAnsi"/>
          <w:b/>
          <w:bCs/>
          <w:sz w:val="22"/>
          <w:szCs w:val="22"/>
          <w:lang w:val="sr-Latn-BA" w:eastAsia="sr-Latn-BA"/>
        </w:rPr>
      </w:pPr>
      <w:r w:rsidRPr="003E5F78">
        <w:rPr>
          <w:rFonts w:asciiTheme="majorHAnsi" w:hAnsiTheme="majorHAnsi"/>
          <w:b/>
          <w:sz w:val="22"/>
          <w:szCs w:val="22"/>
          <w:lang w:val="sr-Cyrl-BA" w:eastAsia="sr-Latn-BA"/>
        </w:rPr>
        <w:t>Обезбједити одговарајућу и</w:t>
      </w:r>
      <w:r w:rsidRPr="003E5F78">
        <w:rPr>
          <w:rFonts w:asciiTheme="majorHAnsi" w:hAnsiTheme="majorHAnsi"/>
          <w:b/>
          <w:sz w:val="22"/>
          <w:szCs w:val="22"/>
          <w:lang w:val="sr-Latn-BA" w:eastAsia="sr-Latn-BA"/>
        </w:rPr>
        <w:t>нфраструктур</w:t>
      </w:r>
      <w:r w:rsidRPr="003E5F78">
        <w:rPr>
          <w:rFonts w:asciiTheme="majorHAnsi" w:hAnsiTheme="majorHAnsi"/>
          <w:b/>
          <w:sz w:val="22"/>
          <w:szCs w:val="22"/>
          <w:lang w:val="sr-Cyrl-BA" w:eastAsia="sr-Latn-BA"/>
        </w:rPr>
        <w:t>у омладинским центрима</w:t>
      </w:r>
      <w:r w:rsidRPr="003E5F78">
        <w:rPr>
          <w:rFonts w:asciiTheme="majorHAnsi" w:hAnsiTheme="majorHAnsi"/>
          <w:bCs/>
          <w:sz w:val="22"/>
          <w:szCs w:val="22"/>
          <w:lang w:val="sr-Latn-BA" w:eastAsia="sr-Latn-BA"/>
        </w:rPr>
        <w:t xml:space="preserve">, </w:t>
      </w:r>
      <w:r w:rsidRPr="003E5F78">
        <w:rPr>
          <w:rFonts w:asciiTheme="majorHAnsi" w:hAnsiTheme="majorHAnsi"/>
          <w:bCs/>
          <w:sz w:val="22"/>
          <w:szCs w:val="22"/>
          <w:lang w:val="sr-Cyrl-BA" w:eastAsia="sr-Latn-BA"/>
        </w:rPr>
        <w:t xml:space="preserve">кроз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>конкретн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е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планов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е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за адаптацију постојећих или 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изградњу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у нових простора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lastRenderedPageBreak/>
        <w:t>прилагођених младима. Елементи као што су дигитална опрема, озвучење, и гријање нису лукс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уз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- они су предуслов за функционисање. За младе из руралних области, требао би систем превоза или флексибилног радног времена центара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 xml:space="preserve">.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>Кадровска структура би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 xml:space="preserve"> 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требала да укључи не само администраторе центара, већ и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 xml:space="preserve"> омладинске раднике,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 психологе и педагоге дост</w:t>
      </w:r>
      <w:r w:rsidRPr="003E5F78">
        <w:rPr>
          <w:rFonts w:asciiTheme="majorHAnsi" w:hAnsiTheme="majorHAnsi"/>
          <w:sz w:val="22"/>
          <w:szCs w:val="22"/>
          <w:lang w:val="sr-Cyrl-BA" w:eastAsia="sr-Latn-BA"/>
        </w:rPr>
        <w:t>у</w:t>
      </w:r>
      <w:r w:rsidRPr="003E5F78">
        <w:rPr>
          <w:rFonts w:asciiTheme="majorHAnsi" w:hAnsiTheme="majorHAnsi"/>
          <w:sz w:val="22"/>
          <w:szCs w:val="22"/>
          <w:lang w:val="sr-Latn-BA" w:eastAsia="sr-Latn-BA"/>
        </w:rPr>
        <w:t xml:space="preserve">пне центрима. </w:t>
      </w:r>
    </w:p>
    <w:p w14:paraId="34688CB7" w14:textId="77777777" w:rsidR="0022306A" w:rsidRPr="003E5F78" w:rsidRDefault="0022306A" w:rsidP="0022306A">
      <w:pPr>
        <w:pStyle w:val="BodyText"/>
        <w:ind w:left="720"/>
        <w:rPr>
          <w:rFonts w:asciiTheme="majorHAnsi" w:hAnsiTheme="majorHAnsi"/>
          <w:b/>
          <w:bCs/>
          <w:sz w:val="22"/>
          <w:szCs w:val="22"/>
          <w:lang w:val="sr-Latn-BA" w:eastAsia="sr-Latn-BA"/>
        </w:rPr>
      </w:pPr>
    </w:p>
    <w:p w14:paraId="38E54905" w14:textId="77777777" w:rsidR="00040B9F" w:rsidRPr="00040B9F" w:rsidRDefault="00040B9F" w:rsidP="00040B9F">
      <w:pPr>
        <w:pStyle w:val="BodyText"/>
        <w:rPr>
          <w:rFonts w:asciiTheme="majorHAnsi" w:hAnsiTheme="majorHAnsi"/>
          <w:sz w:val="22"/>
          <w:szCs w:val="22"/>
          <w:lang w:val="sr-Latn-BA" w:eastAsia="sr-Latn-BA"/>
        </w:rPr>
      </w:pPr>
      <w:r w:rsidRPr="00040B9F">
        <w:rPr>
          <w:rFonts w:asciiTheme="majorHAnsi" w:hAnsiTheme="majorHAnsi"/>
          <w:sz w:val="22"/>
          <w:szCs w:val="22"/>
          <w:lang w:val="sr-Latn-BA" w:eastAsia="sr-Latn-BA"/>
        </w:rPr>
        <w:t>У складу са свим горе наведеним и имајући у виду значај обезбјеђивања дугорочне финансијске одрживости омладинских центара у Републици Српској, предлажемо одржавање заједничког састанка ради консултација и дефинисања најбољег модела подршке.</w:t>
      </w:r>
    </w:p>
    <w:p w14:paraId="4F2F0494" w14:textId="77777777" w:rsidR="00040B9F" w:rsidRPr="00040B9F" w:rsidRDefault="00040B9F" w:rsidP="00040B9F">
      <w:pPr>
        <w:pStyle w:val="BodyText"/>
        <w:rPr>
          <w:rFonts w:asciiTheme="majorHAnsi" w:hAnsiTheme="majorHAnsi"/>
          <w:sz w:val="22"/>
          <w:szCs w:val="22"/>
          <w:lang w:val="sr-Latn-BA" w:eastAsia="sr-Latn-BA"/>
        </w:rPr>
      </w:pPr>
      <w:r w:rsidRPr="00040B9F">
        <w:rPr>
          <w:rFonts w:asciiTheme="majorHAnsi" w:hAnsiTheme="majorHAnsi"/>
          <w:sz w:val="22"/>
          <w:szCs w:val="22"/>
          <w:lang w:val="sr-Latn-BA" w:eastAsia="sr-Latn-BA"/>
        </w:rPr>
        <w:t>Молимо вас да нам доставите повратну информацију у вези с овом иницијативом, а ми стојимо на располагању за све додатне консултације и договор о термину састанка.</w:t>
      </w:r>
    </w:p>
    <w:p w14:paraId="34436115" w14:textId="77777777" w:rsidR="00040B9F" w:rsidRPr="0022306A" w:rsidRDefault="00040B9F" w:rsidP="00031DBE">
      <w:pPr>
        <w:spacing w:before="100" w:beforeAutospacing="1" w:after="100" w:afterAutospacing="1"/>
        <w:jc w:val="both"/>
        <w:rPr>
          <w:rFonts w:ascii="Times New Roman" w:hAnsi="Times New Roman"/>
          <w:b/>
          <w:sz w:val="22"/>
          <w:szCs w:val="22"/>
          <w:lang w:val="sr-Cyrl-BA" w:eastAsia="sr-Latn-BA"/>
        </w:rPr>
      </w:pPr>
      <w:r w:rsidRPr="0022306A">
        <w:rPr>
          <w:rFonts w:ascii="Times New Roman" w:hAnsi="Times New Roman"/>
          <w:b/>
          <w:sz w:val="22"/>
          <w:szCs w:val="22"/>
          <w:lang w:val="sr-Cyrl-BA" w:eastAsia="sr-Latn-BA"/>
        </w:rPr>
        <w:t xml:space="preserve">Иницијативу подносе: </w:t>
      </w:r>
    </w:p>
    <w:p w14:paraId="73CE75F9" w14:textId="5FC0D8C5" w:rsidR="00040B9F" w:rsidRPr="0022306A" w:rsidRDefault="00040B9F" w:rsidP="00031DBE">
      <w:pPr>
        <w:spacing w:before="100" w:beforeAutospacing="1" w:after="100" w:afterAutospacing="1"/>
        <w:jc w:val="both"/>
        <w:rPr>
          <w:rFonts w:ascii="Times New Roman" w:hAnsi="Times New Roman"/>
          <w:b/>
          <w:sz w:val="22"/>
          <w:szCs w:val="22"/>
          <w:lang w:val="sr-Cyrl-BA" w:eastAsia="sr-Latn-BA"/>
        </w:rPr>
      </w:pPr>
      <w:r w:rsidRPr="0022306A">
        <w:rPr>
          <w:rFonts w:ascii="Times New Roman" w:hAnsi="Times New Roman"/>
          <w:b/>
          <w:sz w:val="22"/>
          <w:szCs w:val="22"/>
          <w:lang w:val="sr-Cyrl-BA" w:eastAsia="sr-Latn-BA"/>
        </w:rPr>
        <w:t>Удружење грађана Здраво да сте</w:t>
      </w:r>
    </w:p>
    <w:p w14:paraId="17D69D02" w14:textId="77777777" w:rsidR="00040B9F" w:rsidRPr="0022306A" w:rsidRDefault="00040B9F" w:rsidP="00031DBE">
      <w:pPr>
        <w:spacing w:before="100" w:beforeAutospacing="1" w:after="100" w:afterAutospacing="1"/>
        <w:jc w:val="both"/>
        <w:rPr>
          <w:rFonts w:ascii="Times New Roman" w:hAnsi="Times New Roman"/>
          <w:b/>
          <w:sz w:val="22"/>
          <w:szCs w:val="22"/>
          <w:lang w:val="sr-Cyrl-BA" w:eastAsia="sr-Latn-BA"/>
        </w:rPr>
      </w:pPr>
      <w:r w:rsidRPr="0022306A">
        <w:rPr>
          <w:rFonts w:ascii="Times New Roman" w:hAnsi="Times New Roman"/>
          <w:b/>
          <w:sz w:val="22"/>
          <w:szCs w:val="22"/>
          <w:lang w:val="sr-Cyrl-BA" w:eastAsia="sr-Latn-BA"/>
        </w:rPr>
        <w:t>Омладински центар Прнјавор</w:t>
      </w:r>
    </w:p>
    <w:p w14:paraId="1BB7524F" w14:textId="56570DB0" w:rsidR="00031DBE" w:rsidRPr="0022306A" w:rsidRDefault="00040B9F" w:rsidP="00031DBE">
      <w:pPr>
        <w:spacing w:before="100" w:beforeAutospacing="1" w:after="100" w:afterAutospacing="1"/>
        <w:jc w:val="both"/>
        <w:rPr>
          <w:rFonts w:ascii="Times New Roman" w:hAnsi="Times New Roman"/>
          <w:b/>
          <w:sz w:val="22"/>
          <w:szCs w:val="22"/>
          <w:lang w:val="sr-Cyrl-BA" w:eastAsia="sr-Latn-BA"/>
        </w:rPr>
      </w:pPr>
      <w:r w:rsidRPr="0022306A">
        <w:rPr>
          <w:rFonts w:ascii="Times New Roman" w:hAnsi="Times New Roman"/>
          <w:b/>
          <w:sz w:val="22"/>
          <w:szCs w:val="22"/>
          <w:lang w:val="sr-Cyrl-BA" w:eastAsia="sr-Latn-BA"/>
        </w:rPr>
        <w:t xml:space="preserve">Удружење грађана Ц.Е.З.А.Р. </w:t>
      </w:r>
    </w:p>
    <w:p w14:paraId="7E1CCD2B" w14:textId="31F7E07C" w:rsidR="00040B9F" w:rsidRPr="0022306A" w:rsidRDefault="00040B9F" w:rsidP="00031DBE">
      <w:pPr>
        <w:spacing w:before="100" w:beforeAutospacing="1" w:after="100" w:afterAutospacing="1"/>
        <w:jc w:val="both"/>
        <w:rPr>
          <w:rFonts w:ascii="Times New Roman" w:hAnsi="Times New Roman"/>
          <w:b/>
          <w:sz w:val="22"/>
          <w:szCs w:val="22"/>
          <w:lang w:val="sr-Cyrl-BA" w:eastAsia="sr-Latn-BA"/>
        </w:rPr>
      </w:pPr>
      <w:r w:rsidRPr="0022306A">
        <w:rPr>
          <w:rFonts w:asciiTheme="majorHAnsi" w:hAnsiTheme="majorHAnsi"/>
          <w:b/>
          <w:sz w:val="22"/>
          <w:szCs w:val="22"/>
        </w:rPr>
        <w:t>М.О.Ц.А.Р.Т. Републике Српске – Мреж</w:t>
      </w:r>
      <w:r w:rsidRPr="0022306A">
        <w:rPr>
          <w:rFonts w:asciiTheme="majorHAnsi" w:hAnsiTheme="majorHAnsi"/>
          <w:b/>
          <w:sz w:val="22"/>
          <w:szCs w:val="22"/>
          <w:lang w:val="sr-Cyrl-BA"/>
        </w:rPr>
        <w:t>у</w:t>
      </w:r>
      <w:r w:rsidRPr="0022306A">
        <w:rPr>
          <w:rFonts w:asciiTheme="majorHAnsi" w:hAnsiTheme="majorHAnsi"/>
          <w:b/>
          <w:sz w:val="22"/>
          <w:szCs w:val="22"/>
        </w:rPr>
        <w:t xml:space="preserve"> Омладинских Центара за Анимацију, Развој и Тренинг</w:t>
      </w:r>
    </w:p>
    <w:p w14:paraId="64B507AE" w14:textId="77777777" w:rsidR="00040B9F" w:rsidRPr="003E5F78" w:rsidRDefault="00040B9F" w:rsidP="00031DBE">
      <w:pPr>
        <w:spacing w:before="100" w:beforeAutospacing="1" w:after="100" w:afterAutospacing="1"/>
        <w:jc w:val="both"/>
        <w:rPr>
          <w:rFonts w:ascii="Times New Roman" w:hAnsi="Times New Roman"/>
          <w:color w:val="FF0000"/>
          <w:sz w:val="22"/>
          <w:szCs w:val="22"/>
          <w:lang w:val="sr-Cyrl-BA" w:eastAsia="sr-Latn-BA"/>
        </w:rPr>
      </w:pPr>
    </w:p>
    <w:p w14:paraId="62DD66C1" w14:textId="43674C1D" w:rsidR="00031DBE" w:rsidRPr="003E5F78" w:rsidRDefault="00031DBE" w:rsidP="00031DBE">
      <w:pPr>
        <w:spacing w:before="100" w:beforeAutospacing="1" w:after="100" w:afterAutospacing="1"/>
        <w:jc w:val="both"/>
        <w:rPr>
          <w:rFonts w:ascii="Times New Roman" w:hAnsi="Times New Roman"/>
          <w:color w:val="FF0000"/>
          <w:sz w:val="22"/>
          <w:szCs w:val="22"/>
          <w:lang w:val="sr-Cyrl-BA" w:eastAsia="sr-Latn-BA"/>
        </w:rPr>
      </w:pPr>
    </w:p>
    <w:p w14:paraId="62BBF3F2" w14:textId="77777777" w:rsidR="004060D1" w:rsidRPr="003E5F78" w:rsidRDefault="004060D1">
      <w:pPr>
        <w:jc w:val="both"/>
        <w:rPr>
          <w:rFonts w:asciiTheme="majorHAnsi" w:hAnsiTheme="majorHAnsi"/>
          <w:sz w:val="22"/>
          <w:szCs w:val="22"/>
          <w:lang w:val="sr-Latn-BA" w:eastAsia="sr-Latn-BA"/>
        </w:rPr>
      </w:pPr>
    </w:p>
    <w:sectPr w:rsidR="004060D1" w:rsidRPr="003E5F78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47BAC3" w15:done="0"/>
  <w15:commentEx w15:paraId="4E109AEC" w15:done="0"/>
  <w15:commentEx w15:paraId="14A05A58" w15:done="0"/>
  <w15:commentEx w15:paraId="2286EFDB" w15:done="0"/>
  <w15:commentEx w15:paraId="7D91587A" w15:done="0"/>
  <w15:commentEx w15:paraId="6C3D0AF3" w15:done="0"/>
  <w15:commentEx w15:paraId="0AB63C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37D11" w14:textId="77777777" w:rsidR="005877D2" w:rsidRDefault="005877D2">
      <w:r>
        <w:separator/>
      </w:r>
    </w:p>
  </w:endnote>
  <w:endnote w:type="continuationSeparator" w:id="0">
    <w:p w14:paraId="2F4C26EC" w14:textId="77777777" w:rsidR="005877D2" w:rsidRDefault="0058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YU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8E00C" w14:textId="77777777" w:rsidR="005877D2" w:rsidRDefault="005877D2">
      <w:r>
        <w:separator/>
      </w:r>
    </w:p>
  </w:footnote>
  <w:footnote w:type="continuationSeparator" w:id="0">
    <w:p w14:paraId="05ABC658" w14:textId="77777777" w:rsidR="005877D2" w:rsidRDefault="00587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2" w:type="dxa"/>
      <w:tblInd w:w="-495" w:type="dxa"/>
      <w:tblLook w:val="04A0" w:firstRow="1" w:lastRow="0" w:firstColumn="1" w:lastColumn="0" w:noHBand="0" w:noVBand="1"/>
    </w:tblPr>
    <w:tblGrid>
      <w:gridCol w:w="9652"/>
    </w:tblGrid>
    <w:tr w:rsidR="004060D1" w14:paraId="0D8A5F15" w14:textId="77777777">
      <w:trPr>
        <w:trHeight w:val="708"/>
      </w:trPr>
      <w:tc>
        <w:tcPr>
          <w:tcW w:w="9652" w:type="dxa"/>
        </w:tcPr>
        <w:p w14:paraId="73EAB0B7" w14:textId="77777777" w:rsidR="004060D1" w:rsidRDefault="008A72E6">
          <w:pPr>
            <w:pStyle w:val="Header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D3375BA" wp14:editId="4A382FC5">
                <wp:extent cx="2276475" cy="58039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6475" cy="5809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060D1" w14:paraId="7845A1A5" w14:textId="77777777">
      <w:trPr>
        <w:trHeight w:val="244"/>
      </w:trPr>
      <w:tc>
        <w:tcPr>
          <w:tcW w:w="9652" w:type="dxa"/>
        </w:tcPr>
        <w:p w14:paraId="106E7330" w14:textId="77777777" w:rsidR="004060D1" w:rsidRDefault="004060D1">
          <w:pPr>
            <w:pStyle w:val="Header"/>
            <w:rPr>
              <w:color w:val="000000"/>
            </w:rPr>
          </w:pPr>
        </w:p>
      </w:tc>
    </w:tr>
    <w:tr w:rsidR="004060D1" w14:paraId="1DD3F714" w14:textId="77777777">
      <w:trPr>
        <w:trHeight w:val="708"/>
      </w:trPr>
      <w:tc>
        <w:tcPr>
          <w:tcW w:w="9652" w:type="dxa"/>
        </w:tcPr>
        <w:p w14:paraId="22573366" w14:textId="77777777" w:rsidR="004060D1" w:rsidRDefault="008A72E6">
          <w:pPr>
            <w:pStyle w:val="Header"/>
            <w:jc w:val="center"/>
            <w:rPr>
              <w:rFonts w:ascii="Arial" w:hAnsi="Arial" w:cs="Arial"/>
              <w:sz w:val="18"/>
              <w:szCs w:val="18"/>
              <w:lang w:val="sr-Cyrl-CS"/>
            </w:rPr>
          </w:pPr>
          <w:r>
            <w:rPr>
              <w:rFonts w:ascii="Arial" w:hAnsi="Arial" w:cs="Arial"/>
              <w:sz w:val="18"/>
              <w:szCs w:val="18"/>
              <w:lang w:val="sr-Cyrl-BA"/>
            </w:rPr>
            <w:t>Др Младена Стојановића 10</w:t>
          </w:r>
          <w:r>
            <w:rPr>
              <w:rFonts w:ascii="Arial" w:hAnsi="Arial" w:cs="Arial"/>
              <w:sz w:val="18"/>
              <w:szCs w:val="18"/>
              <w:lang w:val="sr-Cyrl-CS"/>
            </w:rPr>
            <w:t>, 78000 Бањалука, Република Српска, БиХ, тел/факс: ++387 51 218 363</w:t>
          </w:r>
        </w:p>
        <w:p w14:paraId="065B9EA9" w14:textId="77777777" w:rsidR="004060D1" w:rsidRDefault="008A72E6">
          <w:pPr>
            <w:pStyle w:val="Header"/>
            <w:jc w:val="center"/>
            <w:rPr>
              <w:rFonts w:ascii="Arial" w:hAnsi="Arial" w:cs="Arial"/>
              <w:sz w:val="18"/>
              <w:szCs w:val="18"/>
              <w:lang w:val="sr-Cyrl-CS"/>
            </w:rPr>
          </w:pPr>
          <w:r>
            <w:rPr>
              <w:rFonts w:ascii="Arial" w:hAnsi="Arial" w:cs="Arial"/>
              <w:sz w:val="18"/>
              <w:szCs w:val="18"/>
              <w:lang w:val="sr-Latn-BA"/>
            </w:rPr>
            <w:t>Dr Mladena Stojanovića 10</w:t>
          </w:r>
          <w:r>
            <w:rPr>
              <w:rFonts w:ascii="Arial" w:hAnsi="Arial" w:cs="Arial"/>
              <w:sz w:val="18"/>
              <w:szCs w:val="18"/>
              <w:lang w:val="sv-SE"/>
            </w:rPr>
            <w:t>, 78000 Banjaluka, Republika Srpska, BiH, tel/fax: ++ 387 51 218 363</w:t>
          </w:r>
        </w:p>
        <w:p w14:paraId="03E25B44" w14:textId="77777777" w:rsidR="004060D1" w:rsidRDefault="008A72E6">
          <w:pPr>
            <w:pStyle w:val="Header"/>
            <w:jc w:val="center"/>
            <w:rPr>
              <w:color w:val="000000"/>
              <w:sz w:val="18"/>
              <w:szCs w:val="18"/>
              <w:lang w:val="it-IT"/>
            </w:rPr>
          </w:pPr>
          <w:r>
            <w:rPr>
              <w:rFonts w:ascii="Arial" w:hAnsi="Arial" w:cs="Arial"/>
              <w:sz w:val="18"/>
              <w:szCs w:val="18"/>
              <w:lang w:val="it-IT"/>
            </w:rPr>
            <w:t>e-mail: info@zdravodaste.org, www.zdravodaste.org</w:t>
          </w:r>
        </w:p>
      </w:tc>
    </w:tr>
  </w:tbl>
  <w:p w14:paraId="67BA76A8" w14:textId="77777777" w:rsidR="004060D1" w:rsidRDefault="004060D1">
    <w:pPr>
      <w:pStyle w:val="Header"/>
      <w:rPr>
        <w:sz w:val="18"/>
        <w:szCs w:val="18"/>
        <w:lang w:val="it-IT"/>
      </w:rPr>
    </w:pPr>
  </w:p>
  <w:p w14:paraId="7766F44D" w14:textId="77777777" w:rsidR="004060D1" w:rsidRDefault="004060D1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4FAE"/>
    <w:multiLevelType w:val="hybridMultilevel"/>
    <w:tmpl w:val="540CA96A"/>
    <w:lvl w:ilvl="0" w:tplc="4C1AFED2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83E00"/>
    <w:multiLevelType w:val="hybridMultilevel"/>
    <w:tmpl w:val="76703FD2"/>
    <w:lvl w:ilvl="0" w:tplc="DA603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B76F6"/>
    <w:multiLevelType w:val="hybridMultilevel"/>
    <w:tmpl w:val="36DAC8FC"/>
    <w:lvl w:ilvl="0" w:tplc="F09E6BF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D57254"/>
    <w:multiLevelType w:val="hybridMultilevel"/>
    <w:tmpl w:val="7E1686C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20109"/>
    <w:multiLevelType w:val="hybridMultilevel"/>
    <w:tmpl w:val="E0886D7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E0809"/>
    <w:multiLevelType w:val="hybridMultilevel"/>
    <w:tmpl w:val="8C18D9D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474C61"/>
    <w:multiLevelType w:val="hybridMultilevel"/>
    <w:tmpl w:val="B2F60D02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A7B7A"/>
    <w:multiLevelType w:val="multilevel"/>
    <w:tmpl w:val="79CA7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45D86"/>
    <w:multiLevelType w:val="multilevel"/>
    <w:tmpl w:val="BA5A7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mina Ćatić">
    <w15:presenceInfo w15:providerId="None" w15:userId="Emina Ćati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DC"/>
    <w:rsid w:val="0001036C"/>
    <w:rsid w:val="00014006"/>
    <w:rsid w:val="00016D0B"/>
    <w:rsid w:val="00023C97"/>
    <w:rsid w:val="00031DBE"/>
    <w:rsid w:val="000340A1"/>
    <w:rsid w:val="00035E1B"/>
    <w:rsid w:val="00040B9F"/>
    <w:rsid w:val="00050041"/>
    <w:rsid w:val="000579A2"/>
    <w:rsid w:val="000840A3"/>
    <w:rsid w:val="00096BF8"/>
    <w:rsid w:val="000A32ED"/>
    <w:rsid w:val="000A5717"/>
    <w:rsid w:val="000B233C"/>
    <w:rsid w:val="000C3133"/>
    <w:rsid w:val="000D73EE"/>
    <w:rsid w:val="000D7B43"/>
    <w:rsid w:val="000E3463"/>
    <w:rsid w:val="000E5C26"/>
    <w:rsid w:val="000F5FB4"/>
    <w:rsid w:val="001052EA"/>
    <w:rsid w:val="0011791A"/>
    <w:rsid w:val="001272AE"/>
    <w:rsid w:val="001442DB"/>
    <w:rsid w:val="0015123F"/>
    <w:rsid w:val="00160F8E"/>
    <w:rsid w:val="001621DB"/>
    <w:rsid w:val="00191A94"/>
    <w:rsid w:val="001A483D"/>
    <w:rsid w:val="001B7918"/>
    <w:rsid w:val="001C1B23"/>
    <w:rsid w:val="001C2F74"/>
    <w:rsid w:val="001F4755"/>
    <w:rsid w:val="001F6126"/>
    <w:rsid w:val="002028D8"/>
    <w:rsid w:val="0022306A"/>
    <w:rsid w:val="002234ED"/>
    <w:rsid w:val="002404FB"/>
    <w:rsid w:val="00251D68"/>
    <w:rsid w:val="0025242A"/>
    <w:rsid w:val="00254BF6"/>
    <w:rsid w:val="002658B7"/>
    <w:rsid w:val="0027679B"/>
    <w:rsid w:val="002A0679"/>
    <w:rsid w:val="002A14D7"/>
    <w:rsid w:val="002A1EF3"/>
    <w:rsid w:val="002E0971"/>
    <w:rsid w:val="002E3AE0"/>
    <w:rsid w:val="002F1C76"/>
    <w:rsid w:val="00301E6E"/>
    <w:rsid w:val="0030714A"/>
    <w:rsid w:val="00320FA2"/>
    <w:rsid w:val="00333A84"/>
    <w:rsid w:val="003340BD"/>
    <w:rsid w:val="00351A4A"/>
    <w:rsid w:val="003522E0"/>
    <w:rsid w:val="00377072"/>
    <w:rsid w:val="00394ECF"/>
    <w:rsid w:val="003A084C"/>
    <w:rsid w:val="003A167C"/>
    <w:rsid w:val="003D4E2E"/>
    <w:rsid w:val="003D6AB1"/>
    <w:rsid w:val="003E1546"/>
    <w:rsid w:val="003E5F78"/>
    <w:rsid w:val="003E79A5"/>
    <w:rsid w:val="004060D1"/>
    <w:rsid w:val="00413F39"/>
    <w:rsid w:val="0042571E"/>
    <w:rsid w:val="00426CB5"/>
    <w:rsid w:val="0043776E"/>
    <w:rsid w:val="00437E53"/>
    <w:rsid w:val="00445B94"/>
    <w:rsid w:val="00447F52"/>
    <w:rsid w:val="0045215A"/>
    <w:rsid w:val="00463940"/>
    <w:rsid w:val="004645D2"/>
    <w:rsid w:val="00476348"/>
    <w:rsid w:val="00476A18"/>
    <w:rsid w:val="00480A29"/>
    <w:rsid w:val="004A33C5"/>
    <w:rsid w:val="004A54B0"/>
    <w:rsid w:val="004B5920"/>
    <w:rsid w:val="004C34F3"/>
    <w:rsid w:val="004C6016"/>
    <w:rsid w:val="004D6B14"/>
    <w:rsid w:val="004E0887"/>
    <w:rsid w:val="004F6D5C"/>
    <w:rsid w:val="005022C3"/>
    <w:rsid w:val="005039B9"/>
    <w:rsid w:val="00512D0E"/>
    <w:rsid w:val="005206FB"/>
    <w:rsid w:val="00525A21"/>
    <w:rsid w:val="00531B97"/>
    <w:rsid w:val="00533303"/>
    <w:rsid w:val="005374DA"/>
    <w:rsid w:val="00537DD9"/>
    <w:rsid w:val="005425D6"/>
    <w:rsid w:val="00552B33"/>
    <w:rsid w:val="00567ABA"/>
    <w:rsid w:val="00567B37"/>
    <w:rsid w:val="0057291C"/>
    <w:rsid w:val="00586643"/>
    <w:rsid w:val="005877D2"/>
    <w:rsid w:val="00592626"/>
    <w:rsid w:val="005A2C32"/>
    <w:rsid w:val="005A7A90"/>
    <w:rsid w:val="005C0796"/>
    <w:rsid w:val="005E7486"/>
    <w:rsid w:val="005F005B"/>
    <w:rsid w:val="005F6A8C"/>
    <w:rsid w:val="00606357"/>
    <w:rsid w:val="00607E58"/>
    <w:rsid w:val="00610CE2"/>
    <w:rsid w:val="0061178C"/>
    <w:rsid w:val="00615007"/>
    <w:rsid w:val="0062379D"/>
    <w:rsid w:val="00631EA7"/>
    <w:rsid w:val="00642C3E"/>
    <w:rsid w:val="00661216"/>
    <w:rsid w:val="00664D0D"/>
    <w:rsid w:val="0066606C"/>
    <w:rsid w:val="006B2AC7"/>
    <w:rsid w:val="006C2991"/>
    <w:rsid w:val="006C2BDA"/>
    <w:rsid w:val="006D2842"/>
    <w:rsid w:val="00702630"/>
    <w:rsid w:val="00707CD2"/>
    <w:rsid w:val="00712319"/>
    <w:rsid w:val="00714AFF"/>
    <w:rsid w:val="00727ADE"/>
    <w:rsid w:val="00727F56"/>
    <w:rsid w:val="00773A44"/>
    <w:rsid w:val="0078013F"/>
    <w:rsid w:val="00786879"/>
    <w:rsid w:val="0078750B"/>
    <w:rsid w:val="0079268D"/>
    <w:rsid w:val="00795635"/>
    <w:rsid w:val="007A07C8"/>
    <w:rsid w:val="007A5C1F"/>
    <w:rsid w:val="007B51C1"/>
    <w:rsid w:val="007D0106"/>
    <w:rsid w:val="007E0A0C"/>
    <w:rsid w:val="007E2184"/>
    <w:rsid w:val="00804EBC"/>
    <w:rsid w:val="0080687E"/>
    <w:rsid w:val="0083177C"/>
    <w:rsid w:val="00840ABE"/>
    <w:rsid w:val="00841C22"/>
    <w:rsid w:val="008520CC"/>
    <w:rsid w:val="008546B1"/>
    <w:rsid w:val="008573F4"/>
    <w:rsid w:val="00866D78"/>
    <w:rsid w:val="008849DA"/>
    <w:rsid w:val="008850BF"/>
    <w:rsid w:val="00885498"/>
    <w:rsid w:val="00885964"/>
    <w:rsid w:val="00891E17"/>
    <w:rsid w:val="008A72E6"/>
    <w:rsid w:val="008B24B9"/>
    <w:rsid w:val="008B34F9"/>
    <w:rsid w:val="008B48DC"/>
    <w:rsid w:val="008C12F4"/>
    <w:rsid w:val="008C576E"/>
    <w:rsid w:val="008D24A7"/>
    <w:rsid w:val="008D2DED"/>
    <w:rsid w:val="008E1B7F"/>
    <w:rsid w:val="008E6C38"/>
    <w:rsid w:val="008F5DC1"/>
    <w:rsid w:val="00902B94"/>
    <w:rsid w:val="009125F2"/>
    <w:rsid w:val="009227A0"/>
    <w:rsid w:val="00932811"/>
    <w:rsid w:val="00932CA4"/>
    <w:rsid w:val="00934335"/>
    <w:rsid w:val="00943276"/>
    <w:rsid w:val="009502E7"/>
    <w:rsid w:val="009553A5"/>
    <w:rsid w:val="00961069"/>
    <w:rsid w:val="009826AF"/>
    <w:rsid w:val="00987C05"/>
    <w:rsid w:val="009A599D"/>
    <w:rsid w:val="009B6970"/>
    <w:rsid w:val="009C59AD"/>
    <w:rsid w:val="009C7650"/>
    <w:rsid w:val="009E1A0F"/>
    <w:rsid w:val="009E6884"/>
    <w:rsid w:val="009F3063"/>
    <w:rsid w:val="009F563B"/>
    <w:rsid w:val="00A02A2F"/>
    <w:rsid w:val="00A04D32"/>
    <w:rsid w:val="00A076D1"/>
    <w:rsid w:val="00A2365A"/>
    <w:rsid w:val="00A445E4"/>
    <w:rsid w:val="00A4789A"/>
    <w:rsid w:val="00A5134F"/>
    <w:rsid w:val="00A55245"/>
    <w:rsid w:val="00A56247"/>
    <w:rsid w:val="00A64654"/>
    <w:rsid w:val="00A77E70"/>
    <w:rsid w:val="00A80D0F"/>
    <w:rsid w:val="00A852E8"/>
    <w:rsid w:val="00A87624"/>
    <w:rsid w:val="00A96136"/>
    <w:rsid w:val="00AB2885"/>
    <w:rsid w:val="00AB37D2"/>
    <w:rsid w:val="00AB79C9"/>
    <w:rsid w:val="00AD18DD"/>
    <w:rsid w:val="00AF5C91"/>
    <w:rsid w:val="00B02B02"/>
    <w:rsid w:val="00B045EC"/>
    <w:rsid w:val="00B21EF3"/>
    <w:rsid w:val="00B24820"/>
    <w:rsid w:val="00B30BE6"/>
    <w:rsid w:val="00B47AAC"/>
    <w:rsid w:val="00B54942"/>
    <w:rsid w:val="00B606BA"/>
    <w:rsid w:val="00BC2B8B"/>
    <w:rsid w:val="00BC4D5A"/>
    <w:rsid w:val="00BC765B"/>
    <w:rsid w:val="00BD2F59"/>
    <w:rsid w:val="00BE5689"/>
    <w:rsid w:val="00BE74D1"/>
    <w:rsid w:val="00C000DE"/>
    <w:rsid w:val="00C264C9"/>
    <w:rsid w:val="00C26907"/>
    <w:rsid w:val="00C36943"/>
    <w:rsid w:val="00C47F35"/>
    <w:rsid w:val="00C50C1F"/>
    <w:rsid w:val="00C62CD2"/>
    <w:rsid w:val="00C63DFA"/>
    <w:rsid w:val="00C75DF1"/>
    <w:rsid w:val="00CA25F3"/>
    <w:rsid w:val="00CA75A1"/>
    <w:rsid w:val="00CB0E73"/>
    <w:rsid w:val="00CB13F2"/>
    <w:rsid w:val="00CC560A"/>
    <w:rsid w:val="00CD11CC"/>
    <w:rsid w:val="00CD30DA"/>
    <w:rsid w:val="00CD650D"/>
    <w:rsid w:val="00CF0152"/>
    <w:rsid w:val="00D0003F"/>
    <w:rsid w:val="00D04DE9"/>
    <w:rsid w:val="00D17431"/>
    <w:rsid w:val="00D25D2B"/>
    <w:rsid w:val="00D26854"/>
    <w:rsid w:val="00D27444"/>
    <w:rsid w:val="00D27929"/>
    <w:rsid w:val="00D66BB1"/>
    <w:rsid w:val="00D725AC"/>
    <w:rsid w:val="00D73442"/>
    <w:rsid w:val="00D769E5"/>
    <w:rsid w:val="00D76A3B"/>
    <w:rsid w:val="00D957B1"/>
    <w:rsid w:val="00DA762C"/>
    <w:rsid w:val="00DB3186"/>
    <w:rsid w:val="00DC7D40"/>
    <w:rsid w:val="00DE1BCB"/>
    <w:rsid w:val="00DE5A91"/>
    <w:rsid w:val="00E04366"/>
    <w:rsid w:val="00E05957"/>
    <w:rsid w:val="00E20469"/>
    <w:rsid w:val="00E25F25"/>
    <w:rsid w:val="00E31A47"/>
    <w:rsid w:val="00E34ADE"/>
    <w:rsid w:val="00E3703D"/>
    <w:rsid w:val="00E42CE8"/>
    <w:rsid w:val="00E434A2"/>
    <w:rsid w:val="00E51137"/>
    <w:rsid w:val="00E65B3B"/>
    <w:rsid w:val="00E80F5F"/>
    <w:rsid w:val="00EA7512"/>
    <w:rsid w:val="00EC18BB"/>
    <w:rsid w:val="00EC41CF"/>
    <w:rsid w:val="00ED59C0"/>
    <w:rsid w:val="00EE6FF8"/>
    <w:rsid w:val="00EF0FFB"/>
    <w:rsid w:val="00EF7616"/>
    <w:rsid w:val="00F05F61"/>
    <w:rsid w:val="00F07D36"/>
    <w:rsid w:val="00F44AAB"/>
    <w:rsid w:val="00F44FAC"/>
    <w:rsid w:val="00F46D01"/>
    <w:rsid w:val="00F47A16"/>
    <w:rsid w:val="00F81537"/>
    <w:rsid w:val="00F83A1C"/>
    <w:rsid w:val="00F871FF"/>
    <w:rsid w:val="00F91569"/>
    <w:rsid w:val="00F9549F"/>
    <w:rsid w:val="00FA3826"/>
    <w:rsid w:val="00FB0E85"/>
    <w:rsid w:val="00FB2225"/>
    <w:rsid w:val="00FC30F5"/>
    <w:rsid w:val="00FD03A5"/>
    <w:rsid w:val="00FD0834"/>
    <w:rsid w:val="00FD1348"/>
    <w:rsid w:val="00FD5297"/>
    <w:rsid w:val="00FF2080"/>
    <w:rsid w:val="01D969CB"/>
    <w:rsid w:val="21A80A9F"/>
    <w:rsid w:val="27EA610E"/>
    <w:rsid w:val="4B527F8A"/>
    <w:rsid w:val="52E63973"/>
    <w:rsid w:val="6E12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23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qFormat="1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 w:qFormat="1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YU" w:eastAsia="Times New Roman" w:hAnsi="Times YU"/>
      <w:sz w:val="28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jc w:val="both"/>
    </w:pPr>
    <w:rPr>
      <w:sz w:val="24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qFormat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en-US" w:eastAsia="en-US"/>
    </w:rPr>
  </w:style>
  <w:style w:type="table" w:customStyle="1" w:styleId="MediumShading2-Accent11">
    <w:name w:val="Medium Shading 2 - Accent 11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qFormat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Pr>
      <w:rFonts w:ascii="Times YU" w:eastAsia="Times New Roman" w:hAnsi="Times YU"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v1msonormal">
    <w:name w:val="v1msonormal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lang w:val="sr-Latn-BA" w:eastAsia="sr-Latn-BA"/>
    </w:rPr>
  </w:style>
  <w:style w:type="paragraph" w:customStyle="1" w:styleId="v1msolistparagraph">
    <w:name w:val="v1msolistparagraph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lang w:val="sr-Latn-BA" w:eastAsia="sr-Latn-BA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b/>
      <w:bCs/>
      <w:sz w:val="27"/>
      <w:szCs w:val="27"/>
      <w:lang w:val="sr-Latn-BA" w:eastAsia="sr-Latn-BA"/>
    </w:rPr>
  </w:style>
  <w:style w:type="character" w:styleId="CommentReference">
    <w:name w:val="annotation reference"/>
    <w:basedOn w:val="DefaultParagraphFont"/>
    <w:semiHidden/>
    <w:unhideWhenUsed/>
    <w:rsid w:val="00C369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6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6943"/>
    <w:rPr>
      <w:rFonts w:ascii="Times YU" w:eastAsia="Times New Roman" w:hAnsi="Times YU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6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6943"/>
    <w:rPr>
      <w:rFonts w:ascii="Times YU" w:eastAsia="Times New Roman" w:hAnsi="Times YU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qFormat="1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 w:qFormat="1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YU" w:eastAsia="Times New Roman" w:hAnsi="Times YU"/>
      <w:sz w:val="28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jc w:val="both"/>
    </w:pPr>
    <w:rPr>
      <w:sz w:val="24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qFormat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ColorfulGrid-Accent1">
    <w:name w:val="Colorful Grid Accent 1"/>
    <w:basedOn w:val="TableNormal"/>
    <w:uiPriority w:val="73"/>
    <w:qFormat/>
    <w:rPr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en-US" w:eastAsia="en-US"/>
    </w:rPr>
  </w:style>
  <w:style w:type="table" w:customStyle="1" w:styleId="MediumShading2-Accent11">
    <w:name w:val="Medium Shading 2 - Accent 11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qFormat/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Pr>
      <w:rFonts w:ascii="Times YU" w:eastAsia="Times New Roman" w:hAnsi="Times YU"/>
      <w:sz w:val="2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v1msonormal">
    <w:name w:val="v1msonormal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lang w:val="sr-Latn-BA" w:eastAsia="sr-Latn-BA"/>
    </w:rPr>
  </w:style>
  <w:style w:type="paragraph" w:customStyle="1" w:styleId="v1msolistparagraph">
    <w:name w:val="v1msolistparagraph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lang w:val="sr-Latn-BA" w:eastAsia="sr-Latn-BA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b/>
      <w:bCs/>
      <w:sz w:val="27"/>
      <w:szCs w:val="27"/>
      <w:lang w:val="sr-Latn-BA" w:eastAsia="sr-Latn-BA"/>
    </w:rPr>
  </w:style>
  <w:style w:type="character" w:styleId="CommentReference">
    <w:name w:val="annotation reference"/>
    <w:basedOn w:val="DefaultParagraphFont"/>
    <w:semiHidden/>
    <w:unhideWhenUsed/>
    <w:rsid w:val="00C369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6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6943"/>
    <w:rPr>
      <w:rFonts w:ascii="Times YU" w:eastAsia="Times New Roman" w:hAnsi="Times YU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6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6943"/>
    <w:rPr>
      <w:rFonts w:ascii="Times YU" w:eastAsia="Times New Roman" w:hAnsi="Times YU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OC%202014\ASGBL%2014\molb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67455-6E6B-4921-ABA4-5D223BEE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molba</Template>
  <TotalTime>25</TotalTime>
  <Pages>6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Evo ovaj radi</vt:lpstr>
    </vt:vector>
  </TitlesOfParts>
  <Company>mm</Company>
  <LinksUpToDate>false</LinksUpToDate>
  <CharactersWithSpaces>14176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 ovaj radi</dc:title>
  <dc:creator>ZdravoDaSte</dc:creator>
  <cp:lastModifiedBy>Zdravodaster</cp:lastModifiedBy>
  <cp:revision>6</cp:revision>
  <cp:lastPrinted>2025-10-16T11:28:00Z</cp:lastPrinted>
  <dcterms:created xsi:type="dcterms:W3CDTF">2025-12-01T13:25:00Z</dcterms:created>
  <dcterms:modified xsi:type="dcterms:W3CDTF">2025-12-22T15:05:00Z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ACC90E4402494CE3B2E8C74DF9DE57DC_13</vt:lpwstr>
  </property>
</Properties>
</file>